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04D" w:rsidRDefault="00B327B2" w:rsidP="00085888">
      <w:pPr>
        <w:pStyle w:val="3EPGRAFE"/>
        <w:ind w:left="0" w:firstLine="0"/>
        <w:jc w:val="center"/>
      </w:pPr>
      <w:r>
        <w:rPr>
          <w:sz w:val="32"/>
        </w:rPr>
        <w:t>«</w:t>
      </w:r>
      <w:r w:rsidR="00085888" w:rsidRPr="00085888">
        <w:rPr>
          <w:sz w:val="32"/>
        </w:rPr>
        <w:t>DOCTRINA PAROT</w:t>
      </w:r>
      <w:r>
        <w:rPr>
          <w:sz w:val="32"/>
        </w:rPr>
        <w:t>»</w:t>
      </w:r>
      <w:bookmarkStart w:id="0" w:name="_GoBack"/>
      <w:bookmarkEnd w:id="0"/>
      <w:r w:rsidR="00085888" w:rsidRPr="00085888">
        <w:rPr>
          <w:sz w:val="32"/>
        </w:rPr>
        <w:t xml:space="preserve"> Y PROHIBICIÓN DE RETROACTIVIDAD DESFAVORABLE</w:t>
      </w:r>
      <w:r w:rsidR="004E6747">
        <w:rPr>
          <w:rStyle w:val="Refdenotaalpie"/>
        </w:rPr>
        <w:footnoteReference w:id="1"/>
      </w:r>
    </w:p>
    <w:p w:rsidR="001133BE" w:rsidRPr="00A672DF" w:rsidRDefault="001133BE" w:rsidP="00085888">
      <w:pPr>
        <w:pStyle w:val="3EPGRAFE"/>
        <w:tabs>
          <w:tab w:val="clear" w:pos="1134"/>
          <w:tab w:val="left" w:pos="567"/>
        </w:tabs>
        <w:ind w:left="0" w:firstLine="0"/>
        <w:jc w:val="center"/>
      </w:pPr>
      <w:r>
        <w:t>Andrés Díaz Gómez</w:t>
      </w:r>
    </w:p>
    <w:p w:rsidR="00785759" w:rsidRDefault="00785759" w:rsidP="00785759">
      <w:pPr>
        <w:pStyle w:val="2EPGRAFE"/>
      </w:pPr>
      <w:r>
        <w:t xml:space="preserve">1. </w:t>
      </w:r>
      <w:r w:rsidR="00A672DF">
        <w:t>INTRODUCCIÓN</w:t>
      </w:r>
    </w:p>
    <w:p w:rsidR="00785759" w:rsidRDefault="00785759" w:rsidP="00785759">
      <w:r>
        <w:t xml:space="preserve">Han trascurrido más de diez años desde el nacimiento de la </w:t>
      </w:r>
      <w:r w:rsidR="00BA16E9">
        <w:t xml:space="preserve">llamada </w:t>
      </w:r>
      <w:r>
        <w:t xml:space="preserve">«Doctrina Parot» y tres años desde que el Tribunal Europeo de Derechos Humanos (en adelante, TEDH) condenara a nuestro país por la aplicación de tal </w:t>
      </w:r>
      <w:r w:rsidR="00BA16E9">
        <w:t>doctrina a personas que redimían penas por el trabajo conforme al Código Penal</w:t>
      </w:r>
      <w:r w:rsidR="00CC71F9">
        <w:t xml:space="preserve"> (en adelante, CP)</w:t>
      </w:r>
      <w:r w:rsidR="00BA16E9">
        <w:t xml:space="preserve"> de 1973.</w:t>
      </w:r>
      <w:r w:rsidR="00785D82">
        <w:t xml:space="preserve"> </w:t>
      </w:r>
    </w:p>
    <w:p w:rsidR="001943D5" w:rsidRDefault="00785D82" w:rsidP="00785759">
      <w:r>
        <w:t xml:space="preserve">El pronunciamiento del TEDH </w:t>
      </w:r>
      <w:r w:rsidR="006112E6">
        <w:t xml:space="preserve">supuso </w:t>
      </w:r>
      <w:r>
        <w:t>una</w:t>
      </w:r>
      <w:r w:rsidR="006112E6">
        <w:t xml:space="preserve"> importante</w:t>
      </w:r>
      <w:r>
        <w:t xml:space="preserve"> conmoción </w:t>
      </w:r>
      <w:r w:rsidR="006112E6">
        <w:t>en parte de la sociedad española (azuzada por todo tipo de declaraciones políticas bien o mal intencionadas), que no entendía como una persona condenada a miles de años de prisión, por la comisión de</w:t>
      </w:r>
      <w:r w:rsidR="001943D5">
        <w:t xml:space="preserve"> numerosos</w:t>
      </w:r>
      <w:r w:rsidR="006112E6">
        <w:t xml:space="preserve"> actos delictivos especialmente deplorables, podía ser excarcelada al cabo de poco más de un par de décadas</w:t>
      </w:r>
      <w:r w:rsidR="006112E6" w:rsidRPr="001943D5">
        <w:t>. Tiempo después</w:t>
      </w:r>
      <w:r w:rsidR="001943D5" w:rsidRPr="001943D5">
        <w:t>,</w:t>
      </w:r>
      <w:r w:rsidR="006112E6" w:rsidRPr="001943D5">
        <w:t xml:space="preserve"> parece que las aguas han vuelto a su cauce (el de la legalidad) y es buen momento </w:t>
      </w:r>
      <w:r w:rsidR="000B22C3" w:rsidRPr="001943D5">
        <w:t xml:space="preserve">para hacer balance y </w:t>
      </w:r>
      <w:r w:rsidR="006112E6" w:rsidRPr="001943D5">
        <w:t xml:space="preserve">preguntarse </w:t>
      </w:r>
      <w:r w:rsidR="003A3802" w:rsidRPr="001943D5">
        <w:t xml:space="preserve">por </w:t>
      </w:r>
      <w:r w:rsidR="001943D5" w:rsidRPr="001943D5">
        <w:t>el alcance</w:t>
      </w:r>
      <w:r w:rsidR="003A3802" w:rsidRPr="001943D5">
        <w:t xml:space="preserve"> </w:t>
      </w:r>
      <w:r w:rsidR="001943D5" w:rsidRPr="001943D5">
        <w:t>de la</w:t>
      </w:r>
      <w:r w:rsidR="003A3802" w:rsidRPr="001943D5">
        <w:t xml:space="preserve"> </w:t>
      </w:r>
      <w:r w:rsidR="001943D5" w:rsidRPr="001943D5">
        <w:t>doctrina del TEDH acerca del principio de legalidad (en su vertiente de prohibición de la retroactividad desfavorable),</w:t>
      </w:r>
      <w:r w:rsidR="001943D5">
        <w:t xml:space="preserve"> su impacto en la jurisprudencia de los Tribunales españoles y la vigencia actual de la denominada «Doctrina Parot». </w:t>
      </w:r>
    </w:p>
    <w:p w:rsidR="006112E6" w:rsidRDefault="006112E6" w:rsidP="006112E6">
      <w:r>
        <w:t>El objetivo final de esta breve intervención será encarar el problema de la retroactividad desfavorable de medidas que, como en el caso de la «Doctrina Parot», se aplican inesperada y retroactivamente a personas ya sentenciadas</w:t>
      </w:r>
      <w:r w:rsidR="00C10E0C">
        <w:t>,</w:t>
      </w:r>
      <w:r>
        <w:t xml:space="preserve"> que ven como el número de años de prisión se incrementa considerablemente. </w:t>
      </w:r>
    </w:p>
    <w:p w:rsidR="00A07DB1" w:rsidRDefault="00774EE2" w:rsidP="008165A5">
      <w:pPr>
        <w:pStyle w:val="2EPGRAFE"/>
      </w:pPr>
      <w:r>
        <w:t>2</w:t>
      </w:r>
      <w:r w:rsidR="008165A5">
        <w:t>. La llamada «</w:t>
      </w:r>
      <w:r w:rsidR="007808CA">
        <w:t>D</w:t>
      </w:r>
      <w:r w:rsidR="008165A5">
        <w:t xml:space="preserve">octrina </w:t>
      </w:r>
      <w:r w:rsidR="007808CA">
        <w:t>P</w:t>
      </w:r>
      <w:r w:rsidR="008165A5">
        <w:t xml:space="preserve">arot» </w:t>
      </w:r>
    </w:p>
    <w:p w:rsidR="008165A5" w:rsidRDefault="00A07DB1" w:rsidP="00A07DB1">
      <w:pPr>
        <w:pStyle w:val="3EPGRAFE"/>
      </w:pPr>
      <w:r>
        <w:t>2.1. La</w:t>
      </w:r>
      <w:r w:rsidR="008165A5">
        <w:t xml:space="preserve"> </w:t>
      </w:r>
      <w:r>
        <w:t xml:space="preserve">«Doctrina Parot» y la </w:t>
      </w:r>
      <w:r w:rsidR="008165A5">
        <w:t xml:space="preserve">STS de </w:t>
      </w:r>
      <w:r w:rsidR="008165A5" w:rsidRPr="004D39A7">
        <w:t>28 de febrero de 2006</w:t>
      </w:r>
    </w:p>
    <w:p w:rsidR="008165A5" w:rsidRDefault="008165A5" w:rsidP="008165A5">
      <w:r>
        <w:t xml:space="preserve">La denominada «Doctrina Parot» </w:t>
      </w:r>
      <w:r w:rsidRPr="004D39A7">
        <w:t>debe su nombre a</w:t>
      </w:r>
      <w:r w:rsidRPr="008165A5">
        <w:t xml:space="preserve"> </w:t>
      </w:r>
      <w:r w:rsidRPr="008165A5">
        <w:rPr>
          <w:i/>
        </w:rPr>
        <w:t>Henri Parot</w:t>
      </w:r>
      <w:r>
        <w:t xml:space="preserve">, </w:t>
      </w:r>
      <w:r w:rsidRPr="004D39A7">
        <w:t xml:space="preserve">recurrente en casación </w:t>
      </w:r>
      <w:r>
        <w:t>ante el Tribunal Supremo</w:t>
      </w:r>
      <w:r w:rsidR="00CC71F9">
        <w:t xml:space="preserve"> (en adelante, TS)</w:t>
      </w:r>
      <w:r w:rsidR="0006731E">
        <w:t>, resuelto</w:t>
      </w:r>
      <w:r>
        <w:t xml:space="preserve"> en la sentencia</w:t>
      </w:r>
      <w:r w:rsidRPr="004D39A7">
        <w:t xml:space="preserve"> de 28 de febrero de 2006</w:t>
      </w:r>
      <w:r>
        <w:t xml:space="preserve">. </w:t>
      </w:r>
      <w:r w:rsidR="0006731E">
        <w:t>Este</w:t>
      </w:r>
      <w:r w:rsidRPr="004D39A7">
        <w:t xml:space="preserve"> pronunciamiento del Alto Tribunal trae causa de</w:t>
      </w:r>
      <w:r>
        <w:t xml:space="preserve"> un</w:t>
      </w:r>
      <w:r w:rsidRPr="004D39A7">
        <w:t xml:space="preserve"> recurso por infracción de ley contra </w:t>
      </w:r>
      <w:r>
        <w:t>una</w:t>
      </w:r>
      <w:r w:rsidRPr="004D39A7">
        <w:t xml:space="preserve"> resolución de la Audiencia Nacional por la que se establecían dos condenas </w:t>
      </w:r>
      <w:r>
        <w:t>«</w:t>
      </w:r>
      <w:r w:rsidRPr="004D39A7">
        <w:t>acumuladas</w:t>
      </w:r>
      <w:r>
        <w:t>»</w:t>
      </w:r>
      <w:r w:rsidRPr="004D39A7">
        <w:t xml:space="preserve"> autónomamente de treinta años cada una, cuando lo que correspondía </w:t>
      </w:r>
      <w:r>
        <w:t>(</w:t>
      </w:r>
      <w:r w:rsidRPr="004D39A7">
        <w:t>como manifiesta</w:t>
      </w:r>
      <w:r>
        <w:t xml:space="preserve"> el </w:t>
      </w:r>
      <w:r w:rsidR="00CC71F9">
        <w:t xml:space="preserve">TS </w:t>
      </w:r>
      <w:r>
        <w:t xml:space="preserve">en la </w:t>
      </w:r>
      <w:r w:rsidR="0006731E">
        <w:t>resolución mencionada</w:t>
      </w:r>
      <w:r>
        <w:t>) era «acumular» todas ellas en un único bloque. Pero lo verdaderamente relevante de esta sentencia no es la reiteración de una jurisprudencia ya consolidada relativa a la aplicación de las reglas de conexidad en el concurso real, sino la argumentación subsiguiente que da origen a la conocida «Doctrina Parot».</w:t>
      </w:r>
    </w:p>
    <w:p w:rsidR="00774EE2" w:rsidRDefault="008165A5" w:rsidP="00774EE2">
      <w:pPr>
        <w:rPr>
          <w:rStyle w:val="nfasis"/>
        </w:rPr>
      </w:pPr>
      <w:r>
        <w:t xml:space="preserve">El </w:t>
      </w:r>
      <w:r w:rsidR="003F5F0D">
        <w:t>TS</w:t>
      </w:r>
      <w:r>
        <w:t xml:space="preserve"> acabaría estimando en esta resolución las pretensiones del recurrente, casando la sentencia y «acumulando» todas las penas, pero simultáneamente, a modo de </w:t>
      </w:r>
      <w:r w:rsidRPr="008165A5">
        <w:rPr>
          <w:i/>
        </w:rPr>
        <w:t>obiter dicta</w:t>
      </w:r>
      <w:r>
        <w:t xml:space="preserve">, elabora una doctrina de alcance general que apuesta por la individualización </w:t>
      </w:r>
      <w:r>
        <w:lastRenderedPageBreak/>
        <w:t>de las penas impuestas, no dando lugar la fijación del máximo de cumplimiento a una nueva pena, co</w:t>
      </w:r>
      <w:r w:rsidR="0006731E">
        <w:t>n la consiguiente imposibilidad</w:t>
      </w:r>
      <w:r>
        <w:t xml:space="preserve"> </w:t>
      </w:r>
      <w:r w:rsidR="0006731E">
        <w:t>de aplicación del beneficio de la redención de penas por el trabajo</w:t>
      </w:r>
      <w:r>
        <w:t xml:space="preserve"> a dicho límite.</w:t>
      </w:r>
      <w:r w:rsidR="0006731E">
        <w:t xml:space="preserve"> </w:t>
      </w:r>
      <w:r w:rsidR="00774EE2" w:rsidRPr="00830187">
        <w:t xml:space="preserve">El </w:t>
      </w:r>
      <w:r w:rsidR="00CC71F9">
        <w:t xml:space="preserve">TS </w:t>
      </w:r>
      <w:r w:rsidR="00774EE2" w:rsidRPr="00830187">
        <w:t xml:space="preserve">argumenta en la sentencia de </w:t>
      </w:r>
      <w:smartTag w:uri="urn:schemas-microsoft-com:office:smarttags" w:element="date">
        <w:smartTagPr>
          <w:attr w:name="Year" w:val="2006"/>
          <w:attr w:name="Day" w:val="28"/>
          <w:attr w:name="Month" w:val="2"/>
          <w:attr w:name="ls" w:val="trans"/>
        </w:smartTagPr>
        <w:r w:rsidR="00774EE2" w:rsidRPr="00830187">
          <w:rPr>
            <w:rStyle w:val="nfasis"/>
          </w:rPr>
          <w:t>28 de febrero de 2006</w:t>
        </w:r>
      </w:smartTag>
      <w:r w:rsidR="00774EE2" w:rsidRPr="00830187">
        <w:rPr>
          <w:rStyle w:val="nfasis"/>
        </w:rPr>
        <w:t xml:space="preserve"> </w:t>
      </w:r>
      <w:r w:rsidR="00774EE2" w:rsidRPr="00830187">
        <w:t xml:space="preserve">que en el </w:t>
      </w:r>
      <w:r w:rsidR="00774EE2">
        <w:t>art.</w:t>
      </w:r>
      <w:r w:rsidR="00774EE2" w:rsidRPr="000A1832">
        <w:t xml:space="preserve"> 70.2ª </w:t>
      </w:r>
      <w:r w:rsidR="00774EE2">
        <w:t xml:space="preserve">del </w:t>
      </w:r>
      <w:r w:rsidR="00CC71F9">
        <w:t>CP</w:t>
      </w:r>
      <w:r w:rsidR="00774EE2" w:rsidRPr="000A1832">
        <w:t xml:space="preserve"> de 1973</w:t>
      </w:r>
      <w:r w:rsidR="00774EE2" w:rsidRPr="00830187">
        <w:rPr>
          <w:i/>
        </w:rPr>
        <w:t xml:space="preserve"> </w:t>
      </w:r>
      <w:r w:rsidR="00774EE2" w:rsidRPr="00830187">
        <w:t>se</w:t>
      </w:r>
      <w:r w:rsidR="00774EE2" w:rsidRPr="00830187">
        <w:rPr>
          <w:i/>
        </w:rPr>
        <w:t xml:space="preserve"> </w:t>
      </w:r>
      <w:r w:rsidR="00774EE2" w:rsidRPr="00830187">
        <w:t>contempla una operación jurídica que pretende establecer una mera limitación temporal al cumplimiento en prisión</w:t>
      </w:r>
      <w:r w:rsidR="00774EE2" w:rsidRPr="00D00688">
        <w:t xml:space="preserve">, es decir, un «máximo de cumplimiento» que no se convierte en una pena nueva. Luego si tras realizar esta operación jurídica no surge una nueva pena, la conclusión para el Alto Tribunal no es otra que el cumplimiento de la condena se </w:t>
      </w:r>
      <w:r w:rsidR="00AD4F20">
        <w:t>debe</w:t>
      </w:r>
      <w:r w:rsidR="00774EE2" w:rsidRPr="00D00688">
        <w:t xml:space="preserve"> realizar «pena a pena», esto es, extinguiendo cada pena separadamente, </w:t>
      </w:r>
      <w:r w:rsidR="00774EE2" w:rsidRPr="00830187">
        <w:rPr>
          <w:rStyle w:val="nfasis"/>
        </w:rPr>
        <w:t>con los «avatares» que le correspondan y con los «beneficios» a los que tenga derecho</w:t>
      </w:r>
      <w:r w:rsidR="00774EE2" w:rsidRPr="00D00688">
        <w:rPr>
          <w:rStyle w:val="nfasis"/>
        </w:rPr>
        <w:t>.</w:t>
      </w:r>
    </w:p>
    <w:p w:rsidR="00774EE2" w:rsidRDefault="00774EE2" w:rsidP="00774EE2">
      <w:r w:rsidRPr="00D00688">
        <w:rPr>
          <w:rStyle w:val="nfasis"/>
        </w:rPr>
        <w:t xml:space="preserve"> </w:t>
      </w:r>
      <w:r w:rsidRPr="00D00688">
        <w:t>Tal proceder, que no es sino la definición de la «Doctrina Parot», se sintetiza con meridiana claridad en el Fundamento de Derecho cuarto de la mencionada sentencia:</w:t>
      </w:r>
      <w:r>
        <w:t xml:space="preserve"> </w:t>
      </w:r>
      <w:r w:rsidRPr="00714E0A">
        <w:rPr>
          <w:rStyle w:val="nfasis"/>
          <w:i/>
        </w:rPr>
        <w:t>«</w:t>
      </w:r>
      <w:r w:rsidRPr="00714E0A">
        <w:rPr>
          <w:i/>
        </w:rPr>
        <w:t>De tal modo, que la forma de cumplimiento de la condena total, será de la manera siguiente: se principiará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del Código Penal de 1973. Llegados a este estadio, se producirá la extinción de todas las penas comprendidas en la condena total resultante»</w:t>
      </w:r>
      <w:r>
        <w:rPr>
          <w:rStyle w:val="Refdenotaalpie"/>
        </w:rPr>
        <w:footnoteReference w:id="2"/>
      </w:r>
      <w:r w:rsidRPr="00830187">
        <w:t>.</w:t>
      </w:r>
    </w:p>
    <w:p w:rsidR="004E59A1" w:rsidRDefault="00B279E1" w:rsidP="001A20AA">
      <w:r>
        <w:t xml:space="preserve">Las consecuencias prácticas de esta forma de computar </w:t>
      </w:r>
      <w:r w:rsidR="00294515">
        <w:t>la aplicación del beneficio de la redención de penas por el trabajo</w:t>
      </w:r>
      <w:r w:rsidR="004E59A1">
        <w:t xml:space="preserve">, diferente a la que se venía siguiendo de forma habitual con anterioridad a la STS </w:t>
      </w:r>
      <w:r w:rsidR="004E59A1" w:rsidRPr="004D39A7">
        <w:t>de 28 de febrero de 2006</w:t>
      </w:r>
      <w:r w:rsidR="004E59A1">
        <w:t xml:space="preserve">, no son triviales en absoluto. Bajo el </w:t>
      </w:r>
      <w:r w:rsidR="00766007">
        <w:t>CP</w:t>
      </w:r>
      <w:r w:rsidR="004E59A1" w:rsidRPr="00EF4CC0">
        <w:t xml:space="preserve"> de 1973</w:t>
      </w:r>
      <w:r w:rsidR="004E59A1">
        <w:t>, l</w:t>
      </w:r>
      <w:r w:rsidR="004E59A1" w:rsidRPr="00EF4CC0">
        <w:rPr>
          <w:rStyle w:val="nfasis"/>
        </w:rPr>
        <w:t>a llamada «</w:t>
      </w:r>
      <w:r w:rsidR="004E59A1" w:rsidRPr="00EF4CC0">
        <w:t xml:space="preserve">Doctrina Parot» </w:t>
      </w:r>
      <w:r w:rsidR="004E59A1">
        <w:rPr>
          <w:rStyle w:val="nfasis"/>
        </w:rPr>
        <w:t xml:space="preserve">implica </w:t>
      </w:r>
      <w:r w:rsidR="004E59A1" w:rsidRPr="00EF4CC0">
        <w:t xml:space="preserve">la prolongación efectiva de la estancia en prisión respecto de aquellos penados que redimen penas por el trabajo. Así, si tras realizar la operación jurídica del art. 70.2ª </w:t>
      </w:r>
      <w:r w:rsidR="00E1333D">
        <w:t xml:space="preserve">del </w:t>
      </w:r>
      <w:r w:rsidR="00766007">
        <w:t>CP</w:t>
      </w:r>
      <w:r w:rsidR="004E59A1" w:rsidRPr="00EF4CC0">
        <w:t xml:space="preserve"> de 1973 no surge una nueva pena, extinguiéndose las anteriores, sino que las penas de prisión impuestas mantienen su vigencia cumpliéndose sucesivamente hasta alcanzar el máximum, la conclusión será que los días redimidos se descontarán de cada una de las penas a que ha sido condenado el sujeto, de acuerdo con el art. 100 </w:t>
      </w:r>
      <w:r w:rsidR="001A20AA">
        <w:t xml:space="preserve">del </w:t>
      </w:r>
      <w:r w:rsidR="00766007">
        <w:t>CP</w:t>
      </w:r>
      <w:r w:rsidR="001A20AA" w:rsidRPr="00EF4CC0">
        <w:t xml:space="preserve"> de </w:t>
      </w:r>
      <w:r w:rsidR="004E59A1" w:rsidRPr="00EF4CC0">
        <w:t>de 1973</w:t>
      </w:r>
      <w:r w:rsidR="004E59A1" w:rsidRPr="00EF4CC0">
        <w:rPr>
          <w:rStyle w:val="Refdenotaalpie"/>
        </w:rPr>
        <w:footnoteReference w:id="3"/>
      </w:r>
      <w:r w:rsidR="004E59A1" w:rsidRPr="00EF4CC0">
        <w:t>. De este modo, derivativamente, en los casos de comisión de muchos delitos graves supondrá la d</w:t>
      </w:r>
      <w:r w:rsidR="001A20AA">
        <w:t>esaparición del beneficio, pues</w:t>
      </w:r>
      <w:r w:rsidR="004E59A1" w:rsidRPr="00EF4CC0">
        <w:t xml:space="preserve"> extinguida la primera de la penas </w:t>
      </w:r>
      <w:r w:rsidR="001A20AA">
        <w:t>(</w:t>
      </w:r>
      <w:r w:rsidR="004E59A1" w:rsidRPr="00EF4CC0">
        <w:t>aun con el abono de los días redimidos</w:t>
      </w:r>
      <w:r w:rsidR="001A20AA">
        <w:t>),</w:t>
      </w:r>
      <w:r w:rsidR="004E59A1" w:rsidRPr="00EF4CC0">
        <w:t xml:space="preserve"> el penado deberá seguir cumpliendo todas las demás sucesivamente hasta que alcance el límite correspondiente. </w:t>
      </w:r>
      <w:r w:rsidR="001A20AA">
        <w:t xml:space="preserve">Como resultado, se impide </w:t>
      </w:r>
      <w:r w:rsidR="004E59A1" w:rsidRPr="00EF4CC0">
        <w:t>la reducción del tiempo de condena</w:t>
      </w:r>
      <w:r w:rsidR="001A20AA">
        <w:t xml:space="preserve"> por </w:t>
      </w:r>
      <w:r w:rsidR="001A20AA">
        <w:lastRenderedPageBreak/>
        <w:t>abono de días redimidos</w:t>
      </w:r>
      <w:r w:rsidR="004E59A1" w:rsidRPr="00EF4CC0">
        <w:t xml:space="preserve">, de manera que </w:t>
      </w:r>
      <w:r w:rsidR="001A20AA">
        <w:t>ello se traduce en</w:t>
      </w:r>
      <w:r w:rsidR="004E59A1" w:rsidRPr="00EF4CC0">
        <w:t xml:space="preserve"> una prolongación sustancial de </w:t>
      </w:r>
      <w:r w:rsidR="00766007">
        <w:t>tiempo de prisión</w:t>
      </w:r>
      <w:r w:rsidR="004E59A1" w:rsidRPr="00EF4CC0">
        <w:t>, que puede sobrepasar fácilmente la década.</w:t>
      </w:r>
    </w:p>
    <w:p w:rsidR="002D535D" w:rsidRDefault="00A07DB1" w:rsidP="00163B91">
      <w:pPr>
        <w:pStyle w:val="3EPGRAFE"/>
      </w:pPr>
      <w:r>
        <w:t>2.2</w:t>
      </w:r>
      <w:r w:rsidR="001B542F">
        <w:t xml:space="preserve">. </w:t>
      </w:r>
      <w:r w:rsidR="00766007">
        <w:t xml:space="preserve">Interrogantes que suscita la «Doctrina Parot» </w:t>
      </w:r>
      <w:r w:rsidR="002D535D">
        <w:t xml:space="preserve"> </w:t>
      </w:r>
    </w:p>
    <w:p w:rsidR="00664552" w:rsidRDefault="001A20AA" w:rsidP="001A20AA">
      <w:r>
        <w:t xml:space="preserve">Llegados a este punto, </w:t>
      </w:r>
      <w:r w:rsidR="004E6747">
        <w:t xml:space="preserve">más de diez años después de la aparición de la llamada «Doctrina Parot», puede afirmarse que </w:t>
      </w:r>
      <w:r w:rsidR="00664552">
        <w:t xml:space="preserve">han sido </w:t>
      </w:r>
      <w:r w:rsidR="002D535D">
        <w:t xml:space="preserve">numerosos los interrogantes, problemas y discusiones </w:t>
      </w:r>
      <w:r w:rsidR="00664552">
        <w:t>que ha despertado</w:t>
      </w:r>
      <w:r w:rsidR="002D535D">
        <w:t xml:space="preserve">. Muestra de ello </w:t>
      </w:r>
      <w:r w:rsidR="0012471E">
        <w:t>es</w:t>
      </w:r>
      <w:r w:rsidR="002D535D">
        <w:t xml:space="preserve"> la miríada de </w:t>
      </w:r>
      <w:r w:rsidR="00664552">
        <w:t xml:space="preserve">resoluciones judiciales de la jurisdicción ordinaria, sentencias del Tribunal </w:t>
      </w:r>
      <w:r w:rsidR="002D535D">
        <w:t>Constitucional</w:t>
      </w:r>
      <w:r w:rsidR="00766007">
        <w:t xml:space="preserve"> (en adelante, TC)</w:t>
      </w:r>
      <w:r w:rsidR="002D535D">
        <w:t xml:space="preserve"> y</w:t>
      </w:r>
      <w:r w:rsidR="00664552">
        <w:t xml:space="preserve"> sentencias</w:t>
      </w:r>
      <w:r w:rsidR="0077096D">
        <w:t xml:space="preserve"> del</w:t>
      </w:r>
      <w:r w:rsidR="00664552">
        <w:t xml:space="preserve"> </w:t>
      </w:r>
      <w:r w:rsidR="00766007">
        <w:t>TEDH, muchas</w:t>
      </w:r>
      <w:r w:rsidR="002D535D">
        <w:t xml:space="preserve"> de ellas con sus votos particulares discrepantes</w:t>
      </w:r>
      <w:r w:rsidR="00766007">
        <w:t>,</w:t>
      </w:r>
      <w:r w:rsidR="002D535D">
        <w:t xml:space="preserve"> que han ido pronunciándose sobre algunos de sus aspectos más conflictivos. </w:t>
      </w:r>
      <w:r w:rsidR="00CE75D3">
        <w:t xml:space="preserve">La doctrina científica no ha permanecido al margen. Tras la STS </w:t>
      </w:r>
      <w:r w:rsidR="00CE75D3" w:rsidRPr="004D39A7">
        <w:t>de 28 de febrero de 2006</w:t>
      </w:r>
      <w:r w:rsidR="00CE75D3">
        <w:t xml:space="preserve"> son muchas las publicaciones que aluden a la interpretación sentada por dicha resolución, casi siempre con carácter crítico. </w:t>
      </w:r>
      <w:r w:rsidR="008605D7">
        <w:t xml:space="preserve">Del mismo modo, sobre todo tras </w:t>
      </w:r>
      <w:r w:rsidR="00E35818">
        <w:t>c</w:t>
      </w:r>
      <w:r w:rsidR="008605D7">
        <w:t>ondena a España por violación del Convenio Europeo para la Protección de los Derechos Humanos y de las Libertades Fundamentales (en adelante, CEDH), se han sucedido en los medios de comunicaci</w:t>
      </w:r>
      <w:r w:rsidR="00E35818">
        <w:t xml:space="preserve">ón </w:t>
      </w:r>
      <w:r w:rsidR="008605D7">
        <w:t xml:space="preserve">manifestaciones políticas de diversa índole sobre la «Doctrina Parot». </w:t>
      </w:r>
    </w:p>
    <w:p w:rsidR="009A04A0" w:rsidRDefault="00E35818" w:rsidP="00E35818">
      <w:r>
        <w:t xml:space="preserve">Sin perjuicio de otras consideraciones político-criminales que exceden el ámbito del análisis del derecho positivo, en nuestra opinión son dos los aspectos que deben estudiarse sobre la interpretación sentada en la STS </w:t>
      </w:r>
      <w:r w:rsidRPr="004D39A7">
        <w:t>28 de febrero de 2006</w:t>
      </w:r>
      <w:r>
        <w:t>,</w:t>
      </w:r>
      <w:r w:rsidR="00B05F3F">
        <w:t xml:space="preserve"> claramente diferenciados: </w:t>
      </w:r>
      <w:r w:rsidR="00B05F3F" w:rsidRPr="00B05F3F">
        <w:rPr>
          <w:b/>
        </w:rPr>
        <w:t>1)</w:t>
      </w:r>
      <w:r w:rsidR="00B05F3F">
        <w:t xml:space="preserve"> la propia </w:t>
      </w:r>
      <w:r w:rsidR="00B05F3F">
        <w:rPr>
          <w:rStyle w:val="nfasis"/>
        </w:rPr>
        <w:t>«</w:t>
      </w:r>
      <w:r w:rsidR="00B05F3F">
        <w:t>Doctrina Parot», la interpretación del antiguo art. 70 del CP de 1973 en relación con las redenciones de penas por el trabajo y otras posibles vicisitudes procesales y penitenciarias</w:t>
      </w:r>
      <w:r w:rsidR="00B05F3F" w:rsidRPr="006A4D05">
        <w:t xml:space="preserve"> </w:t>
      </w:r>
      <w:r w:rsidR="00B05F3F">
        <w:t xml:space="preserve">(o en su caso del art. 76 del </w:t>
      </w:r>
      <w:r w:rsidR="00591906">
        <w:t>CP</w:t>
      </w:r>
      <w:r w:rsidR="00B05F3F">
        <w:t xml:space="preserve"> actual); y </w:t>
      </w:r>
      <w:r w:rsidR="00B05F3F" w:rsidRPr="00B05F3F">
        <w:rPr>
          <w:b/>
        </w:rPr>
        <w:t xml:space="preserve">2) </w:t>
      </w:r>
      <w:r w:rsidR="00B05F3F">
        <w:t>su aplicación a cada caso concreto, que puede ser imposible, inadecuada o ilegítima por diversas causas, como la vulneración del principio de irretroactividad que luego veremos.</w:t>
      </w:r>
    </w:p>
    <w:p w:rsidR="00E35818" w:rsidRDefault="00591906" w:rsidP="00E35818">
      <w:r w:rsidRPr="00591906">
        <w:rPr>
          <w:b/>
        </w:rPr>
        <w:t>1)</w:t>
      </w:r>
      <w:r>
        <w:t xml:space="preserve"> </w:t>
      </w:r>
      <w:r w:rsidR="00E35818">
        <w:t xml:space="preserve">El primero de ellos se refiere a la correcta interpretación de los arts. </w:t>
      </w:r>
      <w:r w:rsidR="00E35818" w:rsidRPr="00D00688">
        <w:t>70.2ª</w:t>
      </w:r>
      <w:r w:rsidR="00E35818">
        <w:t xml:space="preserve"> y 76 de los </w:t>
      </w:r>
      <w:r>
        <w:t>CP</w:t>
      </w:r>
      <w:r w:rsidR="00E35818">
        <w:t xml:space="preserve"> de </w:t>
      </w:r>
      <w:r w:rsidR="00E35818" w:rsidRPr="00830187">
        <w:t>1973</w:t>
      </w:r>
      <w:r w:rsidR="00E35818">
        <w:t xml:space="preserve"> y de 1995</w:t>
      </w:r>
      <w:r w:rsidR="009A04A0">
        <w:t>,</w:t>
      </w:r>
      <w:r w:rsidR="00E35818">
        <w:t xml:space="preserve"> respectivamente. Es decir, hace referencia a si la «Doctrina Parot», como construcción hermenéutica </w:t>
      </w:r>
      <w:r>
        <w:t>sobre</w:t>
      </w:r>
      <w:r w:rsidR="00E35818">
        <w:t xml:space="preserve"> </w:t>
      </w:r>
      <w:r w:rsidR="009A04A0">
        <w:t xml:space="preserve">la aplicación del beneficio de la redención de penas por el trabajo, es correcta. También se refiere a cuáles son los efectos o la trascendencia de la «Doctrina Parot», si ha supuesto algún cambio en la manera de cumplir las penas y qué quiere decir el </w:t>
      </w:r>
      <w:r w:rsidR="001026AF">
        <w:t>TS</w:t>
      </w:r>
      <w:r w:rsidR="009A04A0">
        <w:t xml:space="preserve"> en la sentencia de </w:t>
      </w:r>
      <w:r w:rsidR="009A04A0" w:rsidRPr="004D39A7">
        <w:t>28 de febrero de 2006</w:t>
      </w:r>
      <w:r w:rsidR="009A04A0">
        <w:t xml:space="preserve"> con que los «</w:t>
      </w:r>
      <w:r w:rsidR="009A04A0">
        <w:rPr>
          <w:rStyle w:val="nfasis"/>
        </w:rPr>
        <w:t>beneficios y redenciones» se deban aplicar con respecto a cada una de las penas que se encuentre cumpliendo el penado</w:t>
      </w:r>
      <w:r w:rsidR="00B05F3F">
        <w:rPr>
          <w:rStyle w:val="Refdenotaalpie"/>
        </w:rPr>
        <w:footnoteReference w:id="4"/>
      </w:r>
      <w:r w:rsidR="009A04A0">
        <w:rPr>
          <w:rStyle w:val="nfasis"/>
        </w:rPr>
        <w:t>.</w:t>
      </w:r>
    </w:p>
    <w:p w:rsidR="00CC3337" w:rsidRDefault="00591906" w:rsidP="00E35818">
      <w:r>
        <w:rPr>
          <w:b/>
        </w:rPr>
        <w:t>2</w:t>
      </w:r>
      <w:r w:rsidRPr="00591906">
        <w:rPr>
          <w:b/>
        </w:rPr>
        <w:t>)</w:t>
      </w:r>
      <w:r>
        <w:t xml:space="preserve">  </w:t>
      </w:r>
      <w:r w:rsidR="00B05F3F">
        <w:t>E</w:t>
      </w:r>
      <w:r w:rsidR="00E35818">
        <w:t xml:space="preserve">l segundo </w:t>
      </w:r>
      <w:r w:rsidR="00B05F3F">
        <w:t>aspecto hace referencia a la</w:t>
      </w:r>
      <w:r w:rsidR="00E35818">
        <w:t xml:space="preserve"> legalidad y oportunidad de aplicación en cada caso particular. Así, podemos pensar que la ejecución retroactiva de la </w:t>
      </w:r>
      <w:r w:rsidR="00E35818">
        <w:rPr>
          <w:rStyle w:val="nfasis"/>
        </w:rPr>
        <w:t>«</w:t>
      </w:r>
      <w:r w:rsidR="00E35818">
        <w:t>Doctrina Parot» vulnera el derecho fundamental a la igualdad, o el principio de seguridad jurídica, por ejemplo, y que eso la convierte en inaplicable. Pero tal cosa no quiere decir necesariamente que el art. 70 del CP de 1973 deba interpretarse de uno u otro modo.</w:t>
      </w:r>
      <w:r w:rsidR="00CC3337">
        <w:t xml:space="preserve"> En última instancia, supone plantearse la compatibilidad de la aplicación de la «Doctrina Parot» con distintos derechos fundamentales y principios constitucionales: principio de igualdad</w:t>
      </w:r>
      <w:r w:rsidR="00A6380A">
        <w:t xml:space="preserve"> </w:t>
      </w:r>
      <w:r w:rsidR="00A6380A" w:rsidRPr="007B4F30">
        <w:t xml:space="preserve">(art. </w:t>
      </w:r>
      <w:r w:rsidR="00A6380A">
        <w:t>14</w:t>
      </w:r>
      <w:r w:rsidR="00A6380A" w:rsidRPr="007B4F30">
        <w:t xml:space="preserve"> CE)</w:t>
      </w:r>
      <w:r w:rsidR="00CC3337">
        <w:t>, derecho a la libertad</w:t>
      </w:r>
      <w:r w:rsidR="00A6380A">
        <w:t xml:space="preserve"> </w:t>
      </w:r>
      <w:r w:rsidR="00A6380A" w:rsidRPr="007B4F30">
        <w:t>(art. 17.1 CE)</w:t>
      </w:r>
      <w:r w:rsidR="00CC3337">
        <w:t xml:space="preserve">, </w:t>
      </w:r>
      <w:r w:rsidR="00A6380A" w:rsidRPr="00A6380A">
        <w:t xml:space="preserve">principio de interdicción de la </w:t>
      </w:r>
      <w:r w:rsidR="00A6380A" w:rsidRPr="00A6380A">
        <w:rPr>
          <w:i/>
        </w:rPr>
        <w:t xml:space="preserve">reformatio en peius </w:t>
      </w:r>
      <w:r w:rsidR="00A6380A">
        <w:t>e</w:t>
      </w:r>
      <w:r w:rsidR="00A6380A" w:rsidRPr="00A6380A">
        <w:t xml:space="preserve"> interdicción de la indefensión</w:t>
      </w:r>
      <w:r w:rsidR="00A6380A">
        <w:t xml:space="preserve"> (art. 24.1 </w:t>
      </w:r>
      <w:r w:rsidR="00A6380A" w:rsidRPr="007B4F30">
        <w:t>CE)</w:t>
      </w:r>
      <w:r w:rsidR="00A6380A">
        <w:t xml:space="preserve">, principio de intangibilidad de las resoluciones judiciales firmes y el principio de seguridad jurídica </w:t>
      </w:r>
      <w:r w:rsidR="00A6380A">
        <w:lastRenderedPageBreak/>
        <w:t xml:space="preserve">(arts. 9.3 y 24.1 CE), </w:t>
      </w:r>
      <w:r w:rsidR="00CC3337">
        <w:t>principio de legalidad</w:t>
      </w:r>
      <w:r w:rsidR="00A6380A">
        <w:t xml:space="preserve"> penal (art. 25</w:t>
      </w:r>
      <w:r w:rsidR="00A6380A" w:rsidRPr="007B4F30">
        <w:t>.1 CE)</w:t>
      </w:r>
      <w:r w:rsidR="00CC3337">
        <w:t>, principio de resocialización</w:t>
      </w:r>
      <w:r w:rsidR="00A6380A">
        <w:t xml:space="preserve"> (art. 25</w:t>
      </w:r>
      <w:r w:rsidR="00A6380A" w:rsidRPr="007B4F30">
        <w:t>.</w:t>
      </w:r>
      <w:r w:rsidR="00A6380A">
        <w:t>2</w:t>
      </w:r>
      <w:r w:rsidR="00A6380A" w:rsidRPr="007B4F30">
        <w:t xml:space="preserve"> CE)</w:t>
      </w:r>
      <w:r w:rsidR="00A6380A">
        <w:t>,</w:t>
      </w:r>
      <w:r w:rsidR="00A6380A" w:rsidRPr="00A6380A">
        <w:t xml:space="preserve"> </w:t>
      </w:r>
      <w:r w:rsidR="00A6380A">
        <w:t>etc.</w:t>
      </w:r>
      <w:r w:rsidR="00CC3337">
        <w:rPr>
          <w:rStyle w:val="Refdenotaalpie"/>
        </w:rPr>
        <w:footnoteReference w:id="5"/>
      </w:r>
      <w:r w:rsidR="00A6380A">
        <w:t>.</w:t>
      </w:r>
    </w:p>
    <w:p w:rsidR="00D7414A" w:rsidRPr="00EF4CC0" w:rsidRDefault="00A07DB1" w:rsidP="00D7414A">
      <w:pPr>
        <w:pStyle w:val="2EPGRAFE"/>
      </w:pPr>
      <w:r>
        <w:t>3</w:t>
      </w:r>
      <w:r w:rsidR="00D7414A">
        <w:t xml:space="preserve">. La prohibición </w:t>
      </w:r>
      <w:r w:rsidR="00D7414A" w:rsidRPr="00EF4CC0">
        <w:t xml:space="preserve">de la retroactividad desfavorable </w:t>
      </w:r>
    </w:p>
    <w:p w:rsidR="00D7414A" w:rsidRPr="00EF4CC0" w:rsidRDefault="00D7414A" w:rsidP="00D7414A">
      <w:r w:rsidRPr="00EF4CC0">
        <w:t>El problema de la vulneración del principio de legalidad por la «Doctrina Parot», en el sentido de aplicación retroactiva de esta doctrina a l</w:t>
      </w:r>
      <w:r w:rsidR="00C46D11">
        <w:t>a</w:t>
      </w:r>
      <w:r w:rsidRPr="00EF4CC0">
        <w:t xml:space="preserve">s </w:t>
      </w:r>
      <w:r w:rsidR="00C46D11">
        <w:t>personas</w:t>
      </w:r>
      <w:r w:rsidRPr="00EF4CC0">
        <w:t xml:space="preserve"> </w:t>
      </w:r>
      <w:r w:rsidR="00C46D11">
        <w:t>que</w:t>
      </w:r>
      <w:r w:rsidR="0012471E">
        <w:t xml:space="preserve"> ya se encontraban cumpliendo su</w:t>
      </w:r>
      <w:r w:rsidR="00C46D11">
        <w:t xml:space="preserve"> condena</w:t>
      </w:r>
      <w:r w:rsidRPr="00EF4CC0">
        <w:t xml:space="preserve">, es sin duda el más complejo y trascendente. De hecho, </w:t>
      </w:r>
      <w:r>
        <w:t xml:space="preserve">como sabemos, </w:t>
      </w:r>
      <w:r w:rsidR="009265CA">
        <w:t>e</w:t>
      </w:r>
      <w:r w:rsidRPr="00EF4CC0">
        <w:t xml:space="preserve">ste ha sido el motivo que ha llevado finalmente a rechazar la aplicación de tal doctrina a los condenados conforme al </w:t>
      </w:r>
      <w:r w:rsidR="00C46D11">
        <w:t>CP</w:t>
      </w:r>
      <w:r w:rsidRPr="00EF4CC0">
        <w:t xml:space="preserve"> de 1973, tras la condena a España por el </w:t>
      </w:r>
      <w:r w:rsidR="00C46D11">
        <w:rPr>
          <w:lang w:eastAsia="es-ES"/>
        </w:rPr>
        <w:t>TEDH</w:t>
      </w:r>
      <w:r w:rsidRPr="00EF4CC0">
        <w:rPr>
          <w:lang w:eastAsia="es-ES"/>
        </w:rPr>
        <w:t xml:space="preserve"> debido a la vulneración del art. 7 CEDH.</w:t>
      </w:r>
    </w:p>
    <w:p w:rsidR="00E335BC" w:rsidRDefault="00D7414A" w:rsidP="00D7414A">
      <w:r w:rsidRPr="00EF4CC0">
        <w:t>La cuestión clave a dilucidar es si puede aplicarse la interpretación contenida en la STS 28 de febrero de 2006 a supuestos producidos con anterioridad a esta fecha, casos en que el reo se encontrare ya cumpliendo condena conforme una interpretación de</w:t>
      </w:r>
      <w:r w:rsidR="00CC326A">
        <w:t>l límite máximo de cumplimiento</w:t>
      </w:r>
      <w:r w:rsidRPr="00EF4CC0">
        <w:t xml:space="preserve"> de acuerdo con la cual tal condena se transformaba en una nueva pena. Esta situación no puede confundirse, sin embargo, con la posible aplicación retroactiva del art. 78 CP a través de la «Doctrina Parot», porque son instituciones que no podrían ser más diferentes</w:t>
      </w:r>
      <w:r w:rsidRPr="00EF4CC0">
        <w:rPr>
          <w:rStyle w:val="Refdenotaalpie"/>
        </w:rPr>
        <w:footnoteReference w:id="6"/>
      </w:r>
      <w:r w:rsidRPr="00EF4CC0">
        <w:t xml:space="preserve">. En nuestra opinión no puede hablarse nunca de aplicación retroactiva del art. 78 CP a través de esta interpretación del cómputo de la redención de penas fijada por el </w:t>
      </w:r>
      <w:r w:rsidR="002676C2">
        <w:t>TS</w:t>
      </w:r>
      <w:r w:rsidRPr="00EF4CC0">
        <w:rPr>
          <w:rStyle w:val="Refdenotaalpie"/>
        </w:rPr>
        <w:footnoteReference w:id="7"/>
      </w:r>
      <w:r w:rsidRPr="00EF4CC0">
        <w:t xml:space="preserve">. </w:t>
      </w:r>
    </w:p>
    <w:p w:rsidR="00E335BC" w:rsidRDefault="00D7414A" w:rsidP="00E335BC">
      <w:r w:rsidRPr="00EF4CC0">
        <w:t xml:space="preserve">Se trata, por tanto, de determinar si la interpretación jurisprudencial del art. 70.2ª </w:t>
      </w:r>
      <w:r w:rsidR="00A1086C">
        <w:t xml:space="preserve">del </w:t>
      </w:r>
      <w:r w:rsidR="002676C2">
        <w:t>CP</w:t>
      </w:r>
      <w:r w:rsidR="00A1086C">
        <w:t xml:space="preserve"> </w:t>
      </w:r>
      <w:r w:rsidRPr="00EF4CC0">
        <w:t xml:space="preserve">de 1973, la denominada «Doctrina Parot», se ha aplicado ilegalmente a condenas anteriores a la fecha en la que fue dictada la sentencia del </w:t>
      </w:r>
      <w:r w:rsidR="002676C2">
        <w:t>TS</w:t>
      </w:r>
      <w:r w:rsidRPr="00EF4CC0">
        <w:t xml:space="preserve">. </w:t>
      </w:r>
      <w:r w:rsidR="00E335BC">
        <w:t>En realidad, la «Doctrina Parot», aplicada al abono de la redención de penas por el trabajo, siempre será retroactiva</w:t>
      </w:r>
      <w:r w:rsidR="00A1086C">
        <w:t xml:space="preserve"> y no podrá aplicarse a delitos cometidos con posterioridad a su creación. N</w:t>
      </w:r>
      <w:r w:rsidR="00E335BC">
        <w:t xml:space="preserve">ótese </w:t>
      </w:r>
      <w:r w:rsidR="00A1086C">
        <w:t>que su origen se produce</w:t>
      </w:r>
      <w:r w:rsidR="0038543E">
        <w:t xml:space="preserve"> con la STS </w:t>
      </w:r>
      <w:r w:rsidR="0038543E" w:rsidRPr="004D39A7">
        <w:t>28 de febrero de 2006</w:t>
      </w:r>
      <w:r w:rsidR="0038543E">
        <w:t>, momento en que e</w:t>
      </w:r>
      <w:r w:rsidR="00A1086C">
        <w:t>l</w:t>
      </w:r>
      <w:r w:rsidR="0038543E">
        <w:t xml:space="preserve"> </w:t>
      </w:r>
      <w:r w:rsidR="002676C2">
        <w:t>CP</w:t>
      </w:r>
      <w:r w:rsidR="0038543E">
        <w:t xml:space="preserve"> de </w:t>
      </w:r>
      <w:r w:rsidR="00A1086C">
        <w:t xml:space="preserve">1973 (y el beneficio de redención de penas por el trabajo) solo se aplicaba a un escaso 3% de personas que había cometido sus delitos con anterioridad a la entrada en vigor del </w:t>
      </w:r>
      <w:r w:rsidR="0077096D">
        <w:t>CP</w:t>
      </w:r>
      <w:r w:rsidR="00A1086C">
        <w:t xml:space="preserve"> de 1995 (</w:t>
      </w:r>
      <w:r w:rsidR="00A1086C" w:rsidRPr="002F2F0C">
        <w:t>antes del</w:t>
      </w:r>
      <w:r w:rsidR="002F2F0C" w:rsidRPr="002F2F0C">
        <w:t xml:space="preserve"> día 25 de mayo de 1996).</w:t>
      </w:r>
      <w:r w:rsidR="002F2F0C">
        <w:rPr>
          <w:b/>
        </w:rPr>
        <w:t xml:space="preserve"> </w:t>
      </w:r>
      <w:r w:rsidR="00A1086C">
        <w:t xml:space="preserve"> </w:t>
      </w:r>
    </w:p>
    <w:p w:rsidR="00A21C1C" w:rsidRDefault="0044022A" w:rsidP="0044022A">
      <w:r>
        <w:t xml:space="preserve">Los Tribunales españoles han negado </w:t>
      </w:r>
      <w:r w:rsidR="002676C2">
        <w:t xml:space="preserve">tradicionalmente </w:t>
      </w:r>
      <w:r>
        <w:t>la vulneración del principio de legalidad penal (art. 25.1 CE y</w:t>
      </w:r>
      <w:r w:rsidR="00A21C1C">
        <w:t xml:space="preserve"> 7.1</w:t>
      </w:r>
      <w:r>
        <w:t xml:space="preserve"> CEDH) sobre la base de dos argumentos: </w:t>
      </w:r>
      <w:r w:rsidRPr="00763802">
        <w:rPr>
          <w:b/>
        </w:rPr>
        <w:t>1)</w:t>
      </w:r>
      <w:r w:rsidR="00A21C1C" w:rsidRPr="00763802">
        <w:rPr>
          <w:b/>
        </w:rPr>
        <w:t xml:space="preserve"> </w:t>
      </w:r>
      <w:r w:rsidR="00A21C1C">
        <w:t>porque</w:t>
      </w:r>
      <w:r>
        <w:t xml:space="preserve"> la «Doctrina Parot» no es una Ley,</w:t>
      </w:r>
      <w:r w:rsidR="00A21C1C">
        <w:t xml:space="preserve"> sino una determinada interpretación jurisprudencial de una Ley,</w:t>
      </w:r>
      <w:r>
        <w:t xml:space="preserve"> por lo que </w:t>
      </w:r>
      <w:r w:rsidR="00A21C1C">
        <w:t xml:space="preserve">no queda sometida a la prohibición constitucional que prohíbe la retroactividad de la Ley desfavorable; y </w:t>
      </w:r>
      <w:r w:rsidR="00A21C1C" w:rsidRPr="00763802">
        <w:rPr>
          <w:b/>
        </w:rPr>
        <w:t>2)</w:t>
      </w:r>
      <w:r w:rsidR="00A21C1C">
        <w:t xml:space="preserve"> porque </w:t>
      </w:r>
      <w:r w:rsidR="00A21C1C" w:rsidRPr="009E64D1">
        <w:t xml:space="preserve">lo que prohíben </w:t>
      </w:r>
      <w:r w:rsidR="00763802">
        <w:t>los</w:t>
      </w:r>
      <w:r w:rsidR="00A21C1C" w:rsidRPr="009E64D1">
        <w:t xml:space="preserve"> art</w:t>
      </w:r>
      <w:r w:rsidR="00763802">
        <w:t>s</w:t>
      </w:r>
      <w:r w:rsidR="00A21C1C" w:rsidRPr="009E64D1">
        <w:t>. 9.3 y</w:t>
      </w:r>
      <w:r w:rsidR="00763802">
        <w:t>. 25.1 CE</w:t>
      </w:r>
      <w:r w:rsidR="00A21C1C" w:rsidRPr="009E64D1">
        <w:t xml:space="preserve"> es la retroactividad de las normas de Derecho penal material, pero no los </w:t>
      </w:r>
      <w:r w:rsidR="00A21C1C" w:rsidRPr="009E64D1">
        <w:lastRenderedPageBreak/>
        <w:t xml:space="preserve">aspectos jurídicos de inicio, cumplimiento y control de </w:t>
      </w:r>
      <w:r w:rsidR="00763802">
        <w:t>las penas, que se circunscriben al Derecho de ejecución de penas (</w:t>
      </w:r>
      <w:r w:rsidR="00A21C1C" w:rsidRPr="009E64D1">
        <w:t>tesis de la distinción entre retroactividad y retrospección</w:t>
      </w:r>
      <w:r w:rsidR="00763802">
        <w:t>)</w:t>
      </w:r>
      <w:r w:rsidR="00A21C1C">
        <w:rPr>
          <w:rStyle w:val="Refdenotaalpie"/>
        </w:rPr>
        <w:footnoteReference w:id="8"/>
      </w:r>
      <w:r w:rsidR="00A21C1C">
        <w:t xml:space="preserve">. </w:t>
      </w:r>
    </w:p>
    <w:p w:rsidR="00705929" w:rsidRDefault="00A07DB1" w:rsidP="00705929">
      <w:pPr>
        <w:pStyle w:val="3EPGRAFE"/>
      </w:pPr>
      <w:r>
        <w:t>3</w:t>
      </w:r>
      <w:r w:rsidR="00705929">
        <w:t>.1. La retroactividad desfavorable de la jurisprudencia</w:t>
      </w:r>
      <w:r w:rsidR="00236DF9">
        <w:t>: doctrina del TS</w:t>
      </w:r>
    </w:p>
    <w:p w:rsidR="00234549" w:rsidRDefault="00D7414A" w:rsidP="00D7414A">
      <w:r w:rsidRPr="00EF4CC0">
        <w:t xml:space="preserve">La prohibición de la irretroactividad de las disposiciones sancionadoras no favorables encuentra su apoyo en el art. 9.3 CE, mandato constitucional que se repite en art. 25.1 CE y se recoge expresamente en los primeros preceptos del </w:t>
      </w:r>
      <w:r w:rsidR="0077096D">
        <w:t>CP</w:t>
      </w:r>
      <w:r w:rsidRPr="00EF4CC0">
        <w:t>, que consagran las clásicas garantías sancionadas en los aforismos «nullum crimen sine lege» y «nulla poena sine lege». Sin embargo, tales preceptos no contienen referencia alguna</w:t>
      </w:r>
      <w:r w:rsidR="0012471E">
        <w:t xml:space="preserve"> a las sentencias judiciales, so</w:t>
      </w:r>
      <w:r w:rsidRPr="00EF4CC0">
        <w:t xml:space="preserve">lo a la Ley. Por ese motivo la doctrina se ha preguntado si realmente son aplicables las prescripciones constitucionales acerca de la irretroactividad a la jurisprudencia, lo que en el caso que discutimos alcanza una indudable importancia y relevantes consecuencias prácticas. </w:t>
      </w:r>
    </w:p>
    <w:p w:rsidR="00D7414A" w:rsidRPr="00EF4CC0" w:rsidRDefault="00D7414A" w:rsidP="00D7414A">
      <w:r w:rsidRPr="00EF4CC0">
        <w:t>Tradicionalmente, un importante sector de la doctrina, que probablemente constituye la mayoría, ha considerado que no cabe incluir dentro de la garantía de la irretroactividad de las normas desfavorables los cambios jurisprudenciales, aun perjudiciales</w:t>
      </w:r>
      <w:r w:rsidRPr="00EF4CC0">
        <w:rPr>
          <w:rStyle w:val="Refdenotaalpie"/>
        </w:rPr>
        <w:footnoteReference w:id="9"/>
      </w:r>
      <w:r w:rsidRPr="00EF4CC0">
        <w:t>. De este modo</w:t>
      </w:r>
      <w:r w:rsidR="003A2F47">
        <w:t>,</w:t>
      </w:r>
      <w:r w:rsidRPr="00EF4CC0">
        <w:t xml:space="preserve"> los Tribunales conservan su libertad interpretativa evitando el inmovilismo que supondría la imposibilidad de modificar la exégesis anterior de la norma</w:t>
      </w:r>
      <w:r w:rsidRPr="00EF4CC0">
        <w:rPr>
          <w:rStyle w:val="Refdenotaalpie"/>
        </w:rPr>
        <w:footnoteReference w:id="10"/>
      </w:r>
      <w:r w:rsidRPr="00EF4CC0">
        <w:t xml:space="preserve">. En sentido parecido se ha pronunciado la jurisprudencia, manifestando el </w:t>
      </w:r>
      <w:r w:rsidR="003A2F47">
        <w:t>TS</w:t>
      </w:r>
      <w:r w:rsidRPr="00EF4CC0">
        <w:t xml:space="preserve"> una postura uniforme desde antaño. Así pueden observarse, por ejemplo, las </w:t>
      </w:r>
      <w:r w:rsidRPr="00EF4CC0">
        <w:rPr>
          <w:szCs w:val="24"/>
        </w:rPr>
        <w:t>S</w:t>
      </w:r>
      <w:r w:rsidRPr="00EF4CC0">
        <w:rPr>
          <w:bCs/>
          <w:szCs w:val="24"/>
        </w:rPr>
        <w:t>STS 11 de mayo de 1994 o 14 de mayo de 1998</w:t>
      </w:r>
      <w:r w:rsidRPr="00EF4CC0">
        <w:rPr>
          <w:rStyle w:val="Refdenotaalpie"/>
          <w:szCs w:val="24"/>
        </w:rPr>
        <w:footnoteReference w:id="11"/>
      </w:r>
      <w:r w:rsidRPr="00EF4CC0">
        <w:rPr>
          <w:bCs/>
          <w:szCs w:val="24"/>
        </w:rPr>
        <w:t xml:space="preserve">. Del mismo modo, el </w:t>
      </w:r>
      <w:r w:rsidR="003F5F0D">
        <w:rPr>
          <w:bCs/>
          <w:szCs w:val="24"/>
        </w:rPr>
        <w:t>TS</w:t>
      </w:r>
      <w:r w:rsidRPr="00EF4CC0">
        <w:rPr>
          <w:bCs/>
          <w:szCs w:val="24"/>
        </w:rPr>
        <w:t xml:space="preserve"> hace alusión a ello en la STS </w:t>
      </w:r>
      <w:r w:rsidR="00234549">
        <w:t>28 de febrero de 2006 (</w:t>
      </w:r>
      <w:r w:rsidRPr="00EF4CC0">
        <w:t>FJ.</w:t>
      </w:r>
      <w:r w:rsidR="00234549">
        <w:t xml:space="preserve"> </w:t>
      </w:r>
      <w:r w:rsidRPr="00EF4CC0">
        <w:t>5</w:t>
      </w:r>
      <w:r w:rsidR="00234549">
        <w:t>)</w:t>
      </w:r>
      <w:r w:rsidRPr="00EF4CC0">
        <w:rPr>
          <w:rStyle w:val="Refdenotaalpie"/>
        </w:rPr>
        <w:footnoteReference w:id="12"/>
      </w:r>
      <w:r w:rsidRPr="00EF4CC0">
        <w:t xml:space="preserve">. </w:t>
      </w:r>
    </w:p>
    <w:p w:rsidR="00D7414A" w:rsidRDefault="00D7414A" w:rsidP="00D7414A">
      <w:r w:rsidRPr="00EF4CC0">
        <w:lastRenderedPageBreak/>
        <w:t xml:space="preserve">Desde luego, resulta complicado argumentar desde una interpretación </w:t>
      </w:r>
      <w:r w:rsidR="003A2F47">
        <w:t xml:space="preserve">estrictamente </w:t>
      </w:r>
      <w:r w:rsidRPr="00EF4CC0">
        <w:t>gramatical que la prohibición constitucional y legal de retroactividad desfavorable se extiende también a la jurisprudencia, al margen de que la interpretación de la «Doctrina Parot» pueda o no incluirse en tal prohibición de retroactividad, como veremos a continuación. Como señala la STS 29 de octubre de 2009, FJ. 5, «</w:t>
      </w:r>
      <w:r w:rsidRPr="003A2F47">
        <w:rPr>
          <w:i/>
        </w:rPr>
        <w:t>la jurisprudencia no crea normas legales de las que quepa afirmar su irretroactividad en caso de no ser más favorables. Se limita a establecer la interpretación correcta de la ley ya vigente en el momento en que los hechos punibles han tenido lugar, y por lo tanto debe ser tenida en cuenta en el momento en el que la ley se aplica»</w:t>
      </w:r>
      <w:r w:rsidRPr="00EF4CC0">
        <w:t>. Por tanto, la Ley sigue siendo la misma y lo único que cambia es la interpretación qu</w:t>
      </w:r>
      <w:r w:rsidR="00705929">
        <w:t>e hacen de ella los tribunales.</w:t>
      </w:r>
    </w:p>
    <w:p w:rsidR="00705929" w:rsidRDefault="00A07DB1" w:rsidP="00705929">
      <w:pPr>
        <w:pStyle w:val="3EPGRAFE"/>
      </w:pPr>
      <w:r>
        <w:t>3</w:t>
      </w:r>
      <w:r w:rsidR="00705929">
        <w:t>.</w:t>
      </w:r>
      <w:r w:rsidR="00216EF8">
        <w:t>2</w:t>
      </w:r>
      <w:r w:rsidR="00705929">
        <w:t xml:space="preserve">. La retroactividad </w:t>
      </w:r>
      <w:r w:rsidR="000F7F62">
        <w:t>desfavorable de las normas de ejecución</w:t>
      </w:r>
      <w:r w:rsidR="00236DF9">
        <w:t>: doctrina del TC</w:t>
      </w:r>
    </w:p>
    <w:p w:rsidR="00A21C1C" w:rsidRDefault="00C23601" w:rsidP="00D7414A">
      <w:r>
        <w:rPr>
          <w:lang w:eastAsia="es-ES"/>
        </w:rPr>
        <w:t>L</w:t>
      </w:r>
      <w:r w:rsidR="00D7414A" w:rsidRPr="00EF4CC0">
        <w:rPr>
          <w:lang w:eastAsia="es-ES"/>
        </w:rPr>
        <w:t>a distinción entre la pena material y las cuestiones relativas su ejecución, cuya modificación retroactiva, en este último caso, no resultaría amparada por el art. 25.1 CE</w:t>
      </w:r>
      <w:r>
        <w:rPr>
          <w:lang w:eastAsia="es-ES"/>
        </w:rPr>
        <w:t xml:space="preserve">, llevaría a </w:t>
      </w:r>
      <w:r w:rsidRPr="00EF4CC0">
        <w:t>entender conforme a la legalidad la aplicación retroactiva de la «Doctrina Parot</w:t>
      </w:r>
      <w:r w:rsidR="00D7414A" w:rsidRPr="00EF4CC0">
        <w:rPr>
          <w:lang w:eastAsia="es-ES"/>
        </w:rPr>
        <w:t>.</w:t>
      </w:r>
      <w:r w:rsidR="00D7414A" w:rsidRPr="00EF4CC0">
        <w:t xml:space="preserve"> </w:t>
      </w:r>
      <w:r>
        <w:rPr>
          <w:lang w:eastAsia="es-ES"/>
        </w:rPr>
        <w:t>Así lo entendió</w:t>
      </w:r>
      <w:r w:rsidR="00D7414A" w:rsidRPr="00EF4CC0">
        <w:rPr>
          <w:lang w:eastAsia="es-ES"/>
        </w:rPr>
        <w:t xml:space="preserve"> e</w:t>
      </w:r>
      <w:r>
        <w:rPr>
          <w:lang w:eastAsia="es-ES"/>
        </w:rPr>
        <w:t xml:space="preserve">l </w:t>
      </w:r>
      <w:r w:rsidR="003A2F47">
        <w:rPr>
          <w:lang w:eastAsia="es-ES"/>
        </w:rPr>
        <w:t>TC</w:t>
      </w:r>
      <w:r>
        <w:rPr>
          <w:lang w:eastAsia="es-ES"/>
        </w:rPr>
        <w:t xml:space="preserve">, afirmando </w:t>
      </w:r>
      <w:r w:rsidR="00D7414A" w:rsidRPr="00EF4CC0">
        <w:rPr>
          <w:lang w:eastAsia="es-ES"/>
        </w:rPr>
        <w:t xml:space="preserve">que la aplicación de la «Doctrina Parot» no se encuentra dentro del ámbito del principio de legalidad, que se reconduciría únicamente a </w:t>
      </w:r>
      <w:r w:rsidR="00D7414A" w:rsidRPr="00EF4CC0">
        <w:t xml:space="preserve">la interpretación y aplicación de los tipos penales, la subsunción de los hechos probados en los mismos y la imposición de la pena en ellos prevista. La llamada </w:t>
      </w:r>
      <w:r w:rsidR="00D7414A" w:rsidRPr="00EF4CC0">
        <w:rPr>
          <w:lang w:eastAsia="es-ES"/>
        </w:rPr>
        <w:t>«Doctrina Parot»</w:t>
      </w:r>
      <w:r w:rsidR="00D7414A" w:rsidRPr="00EF4CC0">
        <w:t xml:space="preserve"> se situaría, pues, dentro del ámbito de la ejecución de una pena privativa de libertad y por tanto fuera de la protección del </w:t>
      </w:r>
      <w:r w:rsidR="00D7414A" w:rsidRPr="00EF4CC0">
        <w:rPr>
          <w:lang w:eastAsia="es-ES"/>
        </w:rPr>
        <w:t>art. 25.1 CE</w:t>
      </w:r>
      <w:r w:rsidR="00D7414A" w:rsidRPr="00EF4CC0">
        <w:rPr>
          <w:rStyle w:val="Refdenotaalpie"/>
        </w:rPr>
        <w:footnoteReference w:id="13"/>
      </w:r>
      <w:r w:rsidR="00D7414A" w:rsidRPr="00EF4CC0">
        <w:t xml:space="preserve">. </w:t>
      </w:r>
    </w:p>
    <w:p w:rsidR="00D7414A" w:rsidRPr="00EF4CC0" w:rsidRDefault="00D7414A" w:rsidP="00D7414A">
      <w:r w:rsidRPr="00EF4CC0">
        <w:t xml:space="preserve">Lo que se cuestiona es, en definitiva, la forma de cómputo de la redención de penas por el trabajo, y de ahí no se deriva, según el </w:t>
      </w:r>
      <w:r w:rsidR="003A2F47">
        <w:t>TC</w:t>
      </w:r>
      <w:r w:rsidRPr="00EF4CC0">
        <w:t xml:space="preserve">, </w:t>
      </w:r>
      <w:r w:rsidRPr="00C23601">
        <w:rPr>
          <w:i/>
        </w:rPr>
        <w:t>«ni el cumplimiento de una pena mayor que la prevista en los tipos penales aplicados, ni la superación del máximo de cumplimiento legalmente previsto»</w:t>
      </w:r>
      <w:r w:rsidRPr="00EF4CC0">
        <w:t xml:space="preserve">. El </w:t>
      </w:r>
      <w:r w:rsidR="003A2F47">
        <w:t>TC</w:t>
      </w:r>
      <w:r w:rsidRPr="00EF4CC0">
        <w:t xml:space="preserve"> cita la jurisprudencia del </w:t>
      </w:r>
      <w:r w:rsidR="003A2F47">
        <w:rPr>
          <w:lang w:eastAsia="es-ES"/>
        </w:rPr>
        <w:t>TEDH,</w:t>
      </w:r>
      <w:r w:rsidRPr="00EF4CC0">
        <w:t xml:space="preserve"> SSTEDH de 10 de julio de 2003 </w:t>
      </w:r>
      <w:r w:rsidR="00A21C1C">
        <w:t>(</w:t>
      </w:r>
      <w:r w:rsidRPr="00EF4CC0">
        <w:t>Grava c. Italia</w:t>
      </w:r>
      <w:r w:rsidR="00A21C1C">
        <w:t>)</w:t>
      </w:r>
      <w:r w:rsidRPr="00EF4CC0">
        <w:t xml:space="preserve"> y 15 de diciembre de 2009 </w:t>
      </w:r>
      <w:r w:rsidR="00A21C1C">
        <w:t>(</w:t>
      </w:r>
      <w:r w:rsidRPr="00EF4CC0">
        <w:t>Gurguchiani c. España</w:t>
      </w:r>
      <w:r w:rsidR="00A21C1C">
        <w:t>)</w:t>
      </w:r>
      <w:r w:rsidRPr="00EF4CC0">
        <w:t xml:space="preserve">, según la cual se confirma, en su opinión, las cuestiones relativas a la ejecución de la pena, si no implican que la misma sea más grave que la prevista por la ley, no conciernen al derecho a la legalidad penal </w:t>
      </w:r>
      <w:r w:rsidR="00A21C1C">
        <w:t>(</w:t>
      </w:r>
      <w:r w:rsidRPr="00EF4CC0">
        <w:t>art. 7.1 CEDH</w:t>
      </w:r>
      <w:r w:rsidR="00A21C1C">
        <w:t>)</w:t>
      </w:r>
      <w:r w:rsidR="00216EF8">
        <w:rPr>
          <w:rStyle w:val="Refdenotaalpie"/>
        </w:rPr>
        <w:footnoteReference w:id="14"/>
      </w:r>
      <w:r w:rsidRPr="00EF4CC0">
        <w:t>.</w:t>
      </w:r>
    </w:p>
    <w:p w:rsidR="00216EF8" w:rsidRDefault="00A07DB1" w:rsidP="00216EF8">
      <w:pPr>
        <w:pStyle w:val="3EPGRAFE"/>
      </w:pPr>
      <w:r>
        <w:lastRenderedPageBreak/>
        <w:t>3</w:t>
      </w:r>
      <w:r w:rsidR="00216EF8">
        <w:t xml:space="preserve">.3. La </w:t>
      </w:r>
      <w:r w:rsidR="00236DF9">
        <w:t>irretroactividad de las medidas desfavorables con impacto «real» en la duración de la condena: doctrina del TEDH</w:t>
      </w:r>
    </w:p>
    <w:p w:rsidR="00D7414A" w:rsidRPr="00EF4CC0" w:rsidRDefault="00A20ED0" w:rsidP="00D7414A">
      <w:r>
        <w:t>No puede negarse que</w:t>
      </w:r>
      <w:r w:rsidR="00D7414A" w:rsidRPr="00EF4CC0">
        <w:t xml:space="preserve"> la denominada «Doctrina Parot» es tan s</w:t>
      </w:r>
      <w:r w:rsidR="009265CA">
        <w:t>o</w:t>
      </w:r>
      <w:r w:rsidR="00D7414A" w:rsidRPr="00EF4CC0">
        <w:t xml:space="preserve">lo una interpretación jurisprudencial referida a la forma de computar determinadas instituciones sobre el quantum de condena. Pero </w:t>
      </w:r>
      <w:r>
        <w:t xml:space="preserve">tampoco que </w:t>
      </w:r>
      <w:r w:rsidR="00D7414A" w:rsidRPr="00EF4CC0">
        <w:t xml:space="preserve">tal interpretación provoca unos efectos no menos </w:t>
      </w:r>
      <w:r>
        <w:t>importantes</w:t>
      </w:r>
      <w:r w:rsidR="00D7414A" w:rsidRPr="00EF4CC0">
        <w:t xml:space="preserve"> que la aplicación retroactiva y negativa de una nueva pena, con una prolongación muy considerable del tiempo en prisión; en un momento en que, </w:t>
      </w:r>
      <w:r>
        <w:t>resultaba</w:t>
      </w:r>
      <w:r w:rsidR="00D7414A" w:rsidRPr="00EF4CC0">
        <w:t xml:space="preserve"> difícil cuestionar que los </w:t>
      </w:r>
      <w:r w:rsidR="00022FF0">
        <w:t>penados</w:t>
      </w:r>
      <w:r w:rsidR="00D7414A" w:rsidRPr="00EF4CC0">
        <w:t xml:space="preserve"> no tuvieran la convicción fundada en la práctica procesal de que las redenciones de penas </w:t>
      </w:r>
      <w:r w:rsidR="003A2F47">
        <w:t>seguirían</w:t>
      </w:r>
      <w:r w:rsidR="00D7414A" w:rsidRPr="00EF4CC0">
        <w:t xml:space="preserve"> aplicándose como hasta entonces. </w:t>
      </w:r>
    </w:p>
    <w:p w:rsidR="00D7414A" w:rsidRDefault="00A07DB1" w:rsidP="00022FF0">
      <w:r w:rsidRPr="00A07DB1">
        <w:t>En este sentido</w:t>
      </w:r>
      <w:r w:rsidR="00D7414A" w:rsidRPr="00A07DB1">
        <w:t xml:space="preserve"> </w:t>
      </w:r>
      <w:r w:rsidR="00022FF0" w:rsidRPr="00A07DB1">
        <w:t xml:space="preserve">se pronunciaría </w:t>
      </w:r>
      <w:r w:rsidR="00D7414A" w:rsidRPr="00A07DB1">
        <w:t xml:space="preserve">el </w:t>
      </w:r>
      <w:r w:rsidR="003A2F47">
        <w:t>TEDH</w:t>
      </w:r>
      <w:r w:rsidR="00D7414A" w:rsidRPr="00A07DB1">
        <w:t xml:space="preserve">, </w:t>
      </w:r>
      <w:r w:rsidRPr="00A07DB1">
        <w:t>primero en la sentencia 10 de julio de 2012 (Sala Tercera) y después en la de 21 de</w:t>
      </w:r>
      <w:r w:rsidRPr="00A07DB1">
        <w:rPr>
          <w:rStyle w:val="PiedepginaCar"/>
          <w:sz w:val="20"/>
        </w:rPr>
        <w:t xml:space="preserve"> </w:t>
      </w:r>
      <w:r w:rsidRPr="00A07DB1">
        <w:t>octubre de 2013 (Gran Sala)</w:t>
      </w:r>
      <w:r>
        <w:t xml:space="preserve">, </w:t>
      </w:r>
      <w:r w:rsidR="00D7414A" w:rsidRPr="00EF4CC0">
        <w:t>configurando una solución alternativa más adecuada y flexible que ha terminado por prohibir la aplicación retroactiva de la «Doctrina Parot» en el cómputo de las redenciones de penas por el trabajo</w:t>
      </w:r>
      <w:r>
        <w:rPr>
          <w:rStyle w:val="Refdenotaalpie"/>
        </w:rPr>
        <w:footnoteReference w:id="15"/>
      </w:r>
      <w:r w:rsidR="00D7414A" w:rsidRPr="00EF4CC0">
        <w:t xml:space="preserve">. </w:t>
      </w:r>
    </w:p>
    <w:p w:rsidR="00A07DB1" w:rsidRDefault="00A07DB1" w:rsidP="00A07DB1">
      <w:pPr>
        <w:rPr>
          <w:lang w:eastAsia="es-ES"/>
        </w:rPr>
      </w:pPr>
      <w:r>
        <w:rPr>
          <w:lang w:eastAsia="es-ES"/>
        </w:rPr>
        <w:t>Como se indicaba con anterioridad,</w:t>
      </w:r>
      <w:r>
        <w:t xml:space="preserve"> dos eran los argumentos por los que los Tribunales nacionales negaban que la aplicación retroactiva de la «Doctrina Parot» </w:t>
      </w:r>
      <w:r w:rsidR="002D52F9">
        <w:t xml:space="preserve">vulnerase </w:t>
      </w:r>
      <w:r>
        <w:t>el principio de legalidad penal (art. 25.1 CE y 7.1 CEDH)</w:t>
      </w:r>
      <w:r w:rsidR="002D52F9">
        <w:t xml:space="preserve">: </w:t>
      </w:r>
      <w:r w:rsidR="005E01FD">
        <w:rPr>
          <w:lang w:eastAsia="es-ES"/>
        </w:rPr>
        <w:t>que e</w:t>
      </w:r>
      <w:r>
        <w:rPr>
          <w:lang w:eastAsia="es-ES"/>
        </w:rPr>
        <w:t xml:space="preserve">sta se sitúa </w:t>
      </w:r>
      <w:r>
        <w:t xml:space="preserve">dentro del ámbito de la ejecución de una pena privativa de libertad (y por tanto </w:t>
      </w:r>
      <w:r w:rsidRPr="00BA3876">
        <w:t xml:space="preserve">fuera </w:t>
      </w:r>
      <w:r>
        <w:t xml:space="preserve">de la órbita </w:t>
      </w:r>
      <w:r w:rsidRPr="00BA3876">
        <w:t xml:space="preserve">del </w:t>
      </w:r>
      <w:r w:rsidRPr="00BA3876">
        <w:rPr>
          <w:lang w:eastAsia="es-ES"/>
        </w:rPr>
        <w:t>art. 25.1 CE</w:t>
      </w:r>
      <w:r>
        <w:rPr>
          <w:lang w:eastAsia="es-ES"/>
        </w:rPr>
        <w:t xml:space="preserve">) y que no es una norma sino una resolución judicial (de modo que la retroacción de la jurisprudencia tampoco encuentra protección constitucional). El TEDH viene a resolver ambos obstáculos al mismo tiempo, al flexibilizar el concepto de «pena» a efectos del art. 7.1 CEDH en base a su incidencia real en la duración de la privación de libertad; de modo que </w:t>
      </w:r>
      <w:r w:rsidR="00AE137D">
        <w:rPr>
          <w:lang w:eastAsia="es-ES"/>
        </w:rPr>
        <w:t>no</w:t>
      </w:r>
      <w:r w:rsidR="003A2F47">
        <w:rPr>
          <w:lang w:eastAsia="es-ES"/>
        </w:rPr>
        <w:t xml:space="preserve"> importa</w:t>
      </w:r>
      <w:r>
        <w:rPr>
          <w:lang w:eastAsia="es-ES"/>
        </w:rPr>
        <w:t xml:space="preserve"> si el aumento del número de años de prisión tiene su origen en una Ley aplicada retroactivamente o en una resolución judicial. </w:t>
      </w:r>
    </w:p>
    <w:p w:rsidR="00E61B87" w:rsidRDefault="002D52F9" w:rsidP="00022FF0">
      <w:pPr>
        <w:rPr>
          <w:lang w:eastAsia="es-ES"/>
        </w:rPr>
      </w:pPr>
      <w:r>
        <w:rPr>
          <w:lang w:eastAsia="es-ES"/>
        </w:rPr>
        <w:t>Señala e</w:t>
      </w:r>
      <w:r w:rsidR="00022FF0">
        <w:rPr>
          <w:lang w:eastAsia="es-ES"/>
        </w:rPr>
        <w:t xml:space="preserve">l TEDH que debe irse «más allá de las apariencias» para determinar si una determinada medida equivale en esencia a una </w:t>
      </w:r>
      <w:r w:rsidR="00F97DDF">
        <w:rPr>
          <w:lang w:eastAsia="es-ES"/>
        </w:rPr>
        <w:t>«</w:t>
      </w:r>
      <w:r w:rsidR="00022FF0">
        <w:rPr>
          <w:lang w:eastAsia="es-ES"/>
        </w:rPr>
        <w:t>pena</w:t>
      </w:r>
      <w:r w:rsidR="00F97DDF">
        <w:rPr>
          <w:lang w:eastAsia="es-ES"/>
        </w:rPr>
        <w:t>»</w:t>
      </w:r>
      <w:r w:rsidR="00022FF0">
        <w:rPr>
          <w:lang w:eastAsia="es-ES"/>
        </w:rPr>
        <w:t>, en el sentido del art. 7.1 CEDH, segundo inciso</w:t>
      </w:r>
      <w:r w:rsidR="0000091D">
        <w:rPr>
          <w:rStyle w:val="Refdenotaalpie"/>
          <w:lang w:eastAsia="es-ES"/>
        </w:rPr>
        <w:footnoteReference w:id="16"/>
      </w:r>
      <w:r w:rsidR="00022FF0">
        <w:rPr>
          <w:lang w:eastAsia="es-ES"/>
        </w:rPr>
        <w:t>. Para ello deben tenerse en cuenta factores como la naturaleza y finalidad de la medida, su caracterización en la legislación nacional, los procedimientos involucrados en su adopción o su gravedad</w:t>
      </w:r>
      <w:r w:rsidR="00022FF0">
        <w:rPr>
          <w:rStyle w:val="Refdenotaalpie"/>
          <w:lang w:eastAsia="es-ES"/>
        </w:rPr>
        <w:footnoteReference w:id="17"/>
      </w:r>
      <w:r w:rsidR="00022FF0">
        <w:rPr>
          <w:lang w:eastAsia="es-ES"/>
        </w:rPr>
        <w:t xml:space="preserve">. Sin embargo, como el propio TEDH admite, tal distinción no siempre es clara en la </w:t>
      </w:r>
      <w:r w:rsidR="003A2F47">
        <w:rPr>
          <w:lang w:eastAsia="es-ES"/>
        </w:rPr>
        <w:t>práctica</w:t>
      </w:r>
      <w:r w:rsidR="00022FF0">
        <w:rPr>
          <w:lang w:eastAsia="es-ES"/>
        </w:rPr>
        <w:t xml:space="preserve">. </w:t>
      </w:r>
      <w:r w:rsidR="00022FF0">
        <w:t xml:space="preserve">Ya que la nueva interpretación del </w:t>
      </w:r>
      <w:r w:rsidR="003F5F0D">
        <w:t>TS</w:t>
      </w:r>
      <w:r w:rsidR="00022FF0">
        <w:t xml:space="preserve"> («Doctrina Parot») lleva en la práctica a la extensión de la privación de libertad por nueve años más, haciendo totalmente inoperantes las disposiciones de redención de penas por </w:t>
      </w:r>
      <w:r w:rsidR="00022FF0">
        <w:lastRenderedPageBreak/>
        <w:t xml:space="preserve">el trabajo, el </w:t>
      </w:r>
      <w:r w:rsidR="00022FF0">
        <w:rPr>
          <w:lang w:eastAsia="es-ES"/>
        </w:rPr>
        <w:t xml:space="preserve">TEDH estima que tal cambio en el método de cálculo </w:t>
      </w:r>
      <w:r w:rsidR="00E61B87">
        <w:rPr>
          <w:lang w:eastAsia="es-ES"/>
        </w:rPr>
        <w:t xml:space="preserve">sí </w:t>
      </w:r>
      <w:r w:rsidR="00022FF0">
        <w:rPr>
          <w:lang w:eastAsia="es-ES"/>
        </w:rPr>
        <w:t xml:space="preserve">ha tenido un impacto real en la duración efectiva de la condena. </w:t>
      </w:r>
    </w:p>
    <w:p w:rsidR="00022FF0" w:rsidRDefault="00022FF0" w:rsidP="00022FF0">
      <w:r>
        <w:rPr>
          <w:lang w:eastAsia="es-ES"/>
        </w:rPr>
        <w:t>En efecto,</w:t>
      </w:r>
      <w:r w:rsidRPr="009E3A31">
        <w:rPr>
          <w:rStyle w:val="Refdenotaalpie"/>
          <w:lang w:eastAsia="es-ES"/>
        </w:rPr>
        <w:t xml:space="preserve"> </w:t>
      </w:r>
      <w:r>
        <w:rPr>
          <w:lang w:eastAsia="es-ES"/>
        </w:rPr>
        <w:t xml:space="preserve">la aplicación de la nueva forma de cómputo convierte la condena en una de duración de treinta años íntegros, sin posibilidad de aplicar el beneficio del art. 100 del </w:t>
      </w:r>
      <w:r>
        <w:t>CP</w:t>
      </w:r>
      <w:r w:rsidRPr="000A1832">
        <w:t xml:space="preserve"> de 1973</w:t>
      </w:r>
      <w:r>
        <w:rPr>
          <w:rStyle w:val="Refdenotaalpie"/>
          <w:lang w:eastAsia="es-ES"/>
        </w:rPr>
        <w:footnoteReference w:id="18"/>
      </w:r>
      <w:r>
        <w:rPr>
          <w:lang w:eastAsia="es-ES"/>
        </w:rPr>
        <w:t>. Por ese motivo entiende que, en este caso, la distinción entre pena y su ejecución no es tan evidente.</w:t>
      </w:r>
      <w:r>
        <w:t xml:space="preserve"> De ahí que el </w:t>
      </w:r>
      <w:r>
        <w:rPr>
          <w:lang w:eastAsia="es-ES"/>
        </w:rPr>
        <w:t>TEDH llegue a la conclusión que la «Doctrina Parot» no s</w:t>
      </w:r>
      <w:r w:rsidR="009265CA">
        <w:rPr>
          <w:lang w:eastAsia="es-ES"/>
        </w:rPr>
        <w:t>o</w:t>
      </w:r>
      <w:r>
        <w:rPr>
          <w:lang w:eastAsia="es-ES"/>
        </w:rPr>
        <w:t>lo ha tenido impacto en la ejecución, sino también en el propio concepto de «pena» a efectos del art. 7.1 CEDH. Además, p</w:t>
      </w:r>
      <w:r>
        <w:t xml:space="preserve">ara el </w:t>
      </w:r>
      <w:r>
        <w:rPr>
          <w:lang w:eastAsia="es-ES"/>
        </w:rPr>
        <w:t xml:space="preserve">TEDH, </w:t>
      </w:r>
      <w:r>
        <w:t>la demandante podía legítimamente esperar la aplicación del beneficio de la redención de penas por el trabajo sobre el máximum de treinta años, ya que la jurisprudencia y la práctica judicial y administrativa previa a la STS 28 de febrero de 2006 era lo suficientemente precisa como para no poder prever un cambio jurisprudencial sobre la aplicación de este beneficio</w:t>
      </w:r>
      <w:r>
        <w:rPr>
          <w:rStyle w:val="Refdenotaalpie"/>
        </w:rPr>
        <w:footnoteReference w:id="19"/>
      </w:r>
      <w:r>
        <w:t xml:space="preserve">. </w:t>
      </w:r>
    </w:p>
    <w:p w:rsidR="00022FF0" w:rsidRDefault="00022FF0" w:rsidP="00022FF0">
      <w:pPr>
        <w:rPr>
          <w:lang w:eastAsia="es-ES"/>
        </w:rPr>
      </w:pPr>
      <w:r>
        <w:rPr>
          <w:lang w:eastAsia="es-ES"/>
        </w:rPr>
        <w:t>Por tanto, si se vulnera</w:t>
      </w:r>
      <w:r w:rsidRPr="002B1B92">
        <w:rPr>
          <w:lang w:eastAsia="es-ES"/>
        </w:rPr>
        <w:t xml:space="preserve"> </w:t>
      </w:r>
      <w:r>
        <w:rPr>
          <w:lang w:eastAsia="es-ES"/>
        </w:rPr>
        <w:t xml:space="preserve">el art. 7 CEDH por la aplicación retroactiva de una doctrina jurisprudencial imprevisible que supone </w:t>
      </w:r>
      <w:r>
        <w:rPr>
          <w:i/>
          <w:lang w:eastAsia="es-ES"/>
        </w:rPr>
        <w:t>de facto</w:t>
      </w:r>
      <w:r>
        <w:rPr>
          <w:lang w:eastAsia="es-ES"/>
        </w:rPr>
        <w:t xml:space="preserve"> un mayor tiempo de prisión y la inoperancia del beneficio penitenciario de la redención de penas, también se vulnera en consecuencia el art. 5.1 CEDH, que recoge el derecho a la libertad, dado el tiempo transcurrido en prisión desde que la persona demandante debía ser puesta en libertad en aplicación de la anterior interpretación jurisprudencial del </w:t>
      </w:r>
      <w:r>
        <w:t xml:space="preserve">art. </w:t>
      </w:r>
      <w:r w:rsidRPr="00D00688">
        <w:t>70.2ª</w:t>
      </w:r>
      <w:r>
        <w:t xml:space="preserve"> CP de 1973</w:t>
      </w:r>
      <w:r>
        <w:rPr>
          <w:rStyle w:val="Refdenotaalpie"/>
        </w:rPr>
        <w:footnoteReference w:id="20"/>
      </w:r>
      <w:r>
        <w:t>.</w:t>
      </w:r>
    </w:p>
    <w:p w:rsidR="00191545" w:rsidRDefault="00AC0C14" w:rsidP="00191545">
      <w:pPr>
        <w:pStyle w:val="2EPGRAFE"/>
      </w:pPr>
      <w:r>
        <w:t xml:space="preserve">4. REPERCUSIÓN DE LA </w:t>
      </w:r>
      <w:r w:rsidRPr="00EF4CC0">
        <w:t>STEDH 21 de octubre de 2013</w:t>
      </w:r>
    </w:p>
    <w:p w:rsidR="00B77F45" w:rsidRDefault="002A0D49" w:rsidP="00191545">
      <w:r>
        <w:t xml:space="preserve">Tras la condena a España por la vulneración del </w:t>
      </w:r>
      <w:r>
        <w:rPr>
          <w:lang w:eastAsia="es-ES"/>
        </w:rPr>
        <w:t xml:space="preserve">CEDH en la </w:t>
      </w:r>
      <w:r w:rsidRPr="00EF4CC0">
        <w:t>STEDH 21 de octubre de 2013</w:t>
      </w:r>
      <w:r>
        <w:t>, las reacciones no se hicieron esperar en el ámbito judicial</w:t>
      </w:r>
      <w:r w:rsidR="001440EC">
        <w:t xml:space="preserve"> nacional</w:t>
      </w:r>
      <w:r>
        <w:t>. Así, al día siguiente la Audiencia Nacional decidió excarcelar a la demandante en aplicación de la mencionada sentencia</w:t>
      </w:r>
      <w:r w:rsidR="00CF2C16">
        <w:rPr>
          <w:rStyle w:val="Refdenotaalpie"/>
        </w:rPr>
        <w:footnoteReference w:id="21"/>
      </w:r>
      <w:r>
        <w:t xml:space="preserve">. Poco después, </w:t>
      </w:r>
      <w:r w:rsidRPr="00EF4CC0">
        <w:t>la Sala Segunda del T</w:t>
      </w:r>
      <w:r w:rsidR="003F5F0D">
        <w:t>S</w:t>
      </w:r>
      <w:r w:rsidRPr="00EF4CC0">
        <w:t>, reunida en pleno no jurisdiccional el día 12 de noviembre de 2013, adoptó el acuerdo de revertir la forma de computar el beneficio de la redención de penas por el trabajo, para volver a actuar tal y como venía haciéndose con anterioridad a la «Doctrina Parot»</w:t>
      </w:r>
      <w:r>
        <w:rPr>
          <w:rStyle w:val="Refdenotaalpie"/>
        </w:rPr>
        <w:footnoteReference w:id="22"/>
      </w:r>
      <w:r w:rsidRPr="00EF4CC0">
        <w:t xml:space="preserve">. </w:t>
      </w:r>
    </w:p>
    <w:p w:rsidR="00191545" w:rsidRDefault="001440EC" w:rsidP="00191545">
      <w:pPr>
        <w:rPr>
          <w:lang w:eastAsia="es-ES"/>
        </w:rPr>
      </w:pPr>
      <w:r>
        <w:rPr>
          <w:lang w:eastAsia="es-ES"/>
        </w:rPr>
        <w:t>Recordemos que p</w:t>
      </w:r>
      <w:r w:rsidR="00191545" w:rsidRPr="007115C4">
        <w:rPr>
          <w:lang w:eastAsia="es-ES"/>
        </w:rPr>
        <w:t xml:space="preserve">ara el </w:t>
      </w:r>
      <w:r w:rsidR="003F5F0D">
        <w:rPr>
          <w:lang w:eastAsia="es-ES"/>
        </w:rPr>
        <w:t>TC</w:t>
      </w:r>
      <w:r w:rsidR="00191545" w:rsidRPr="007115C4">
        <w:rPr>
          <w:lang w:eastAsia="es-ES"/>
        </w:rPr>
        <w:t xml:space="preserve"> </w:t>
      </w:r>
      <w:r w:rsidR="00191545">
        <w:rPr>
          <w:lang w:eastAsia="es-ES"/>
        </w:rPr>
        <w:t xml:space="preserve">español </w:t>
      </w:r>
      <w:r w:rsidR="00191545" w:rsidRPr="007115C4">
        <w:rPr>
          <w:lang w:eastAsia="es-ES"/>
        </w:rPr>
        <w:t>la «Doctrina Parot»</w:t>
      </w:r>
      <w:r w:rsidR="00191545">
        <w:rPr>
          <w:lang w:eastAsia="es-ES"/>
        </w:rPr>
        <w:t xml:space="preserve"> no cae dentro del </w:t>
      </w:r>
      <w:r w:rsidR="00191545" w:rsidRPr="007115C4">
        <w:rPr>
          <w:lang w:eastAsia="es-ES"/>
        </w:rPr>
        <w:t xml:space="preserve">art. 25.1 </w:t>
      </w:r>
      <w:r w:rsidR="00191545">
        <w:rPr>
          <w:lang w:eastAsia="es-ES"/>
        </w:rPr>
        <w:t>C</w:t>
      </w:r>
      <w:r w:rsidR="00191545" w:rsidRPr="007115C4">
        <w:rPr>
          <w:lang w:eastAsia="es-ES"/>
        </w:rPr>
        <w:t>E</w:t>
      </w:r>
      <w:r w:rsidR="00191545">
        <w:rPr>
          <w:lang w:eastAsia="es-ES"/>
        </w:rPr>
        <w:t xml:space="preserve">, sino fuera de su </w:t>
      </w:r>
      <w:r w:rsidR="00191545" w:rsidRPr="009C1010">
        <w:rPr>
          <w:lang w:eastAsia="es-ES"/>
        </w:rPr>
        <w:t xml:space="preserve">órbita de protección (puesto que se encuentra en la fase de ejecución de las penas), </w:t>
      </w:r>
      <w:r w:rsidR="00191545">
        <w:rPr>
          <w:lang w:eastAsia="es-ES"/>
        </w:rPr>
        <w:t>por lo que</w:t>
      </w:r>
      <w:r w:rsidR="00191545" w:rsidRPr="009C1010">
        <w:rPr>
          <w:lang w:eastAsia="es-ES"/>
        </w:rPr>
        <w:t xml:space="preserve"> esta doctrina es aplicable retroactivamente sin merma del principio de legalidad. </w:t>
      </w:r>
      <w:r>
        <w:rPr>
          <w:lang w:eastAsia="es-ES"/>
        </w:rPr>
        <w:t>Para</w:t>
      </w:r>
      <w:r w:rsidR="00191545" w:rsidRPr="009C1010">
        <w:rPr>
          <w:lang w:eastAsia="es-ES"/>
        </w:rPr>
        <w:t xml:space="preserve"> el TEDH</w:t>
      </w:r>
      <w:r>
        <w:rPr>
          <w:lang w:eastAsia="es-ES"/>
        </w:rPr>
        <w:t>, sin embargo,</w:t>
      </w:r>
      <w:r w:rsidR="00191545" w:rsidRPr="009C1010">
        <w:rPr>
          <w:lang w:eastAsia="es-ES"/>
        </w:rPr>
        <w:t xml:space="preserve"> hay que ir «más allá de las apariencias» y adoptar una pos</w:t>
      </w:r>
      <w:r w:rsidR="00191545">
        <w:rPr>
          <w:lang w:eastAsia="es-ES"/>
        </w:rPr>
        <w:t>tu</w:t>
      </w:r>
      <w:r>
        <w:rPr>
          <w:lang w:eastAsia="es-ES"/>
        </w:rPr>
        <w:t>ra más flexible;</w:t>
      </w:r>
      <w:r w:rsidR="00191545">
        <w:rPr>
          <w:lang w:eastAsia="es-ES"/>
        </w:rPr>
        <w:t xml:space="preserve"> de modo que </w:t>
      </w:r>
      <w:r w:rsidR="00191545" w:rsidRPr="009C1010">
        <w:rPr>
          <w:lang w:eastAsia="es-ES"/>
        </w:rPr>
        <w:t>si tal interpretación</w:t>
      </w:r>
      <w:r w:rsidR="00191545">
        <w:rPr>
          <w:lang w:eastAsia="es-ES"/>
        </w:rPr>
        <w:t xml:space="preserve"> tiene un impacto significativo y efectivo en la duración de la pena, aunque formalmente se trate de aspectos de ejecución, debe incluirse en el concepto de «pena» a efectos del art. </w:t>
      </w:r>
      <w:r w:rsidR="00191545" w:rsidRPr="007115C4">
        <w:rPr>
          <w:lang w:eastAsia="es-ES"/>
        </w:rPr>
        <w:t>7.1 CEDH</w:t>
      </w:r>
      <w:r w:rsidR="00191545">
        <w:rPr>
          <w:lang w:eastAsia="es-ES"/>
        </w:rPr>
        <w:t xml:space="preserve">. </w:t>
      </w:r>
    </w:p>
    <w:p w:rsidR="007B3BBC" w:rsidRDefault="00191545" w:rsidP="007B3BBC">
      <w:r w:rsidRPr="00191545">
        <w:lastRenderedPageBreak/>
        <w:t>Se trata de una corriente interpretativa que el TEDH ya venía propugnando en otras sentencias, como la STEDH 12 de febrero de 2008 (Kafkaris c. Chipre), citada por la</w:t>
      </w:r>
      <w:r w:rsidR="007139AF">
        <w:t>s</w:t>
      </w:r>
      <w:r w:rsidRPr="00191545">
        <w:t xml:space="preserve"> SSTEDH 10 de julio de 2012 y 21 de octubre de 2013 (Del Río Prada c. España)</w:t>
      </w:r>
      <w:r w:rsidR="00546ACC">
        <w:t>,</w:t>
      </w:r>
      <w:r w:rsidR="007139AF">
        <w:t xml:space="preserve"> cuando afirmaba que el principio de legalidad del art. 7.1 CEDH exigía ir </w:t>
      </w:r>
      <w:r w:rsidR="00AC0C14">
        <w:t>«</w:t>
      </w:r>
      <w:r w:rsidR="007139AF">
        <w:t>más allá de las apariencias</w:t>
      </w:r>
      <w:r w:rsidR="00AC0C14">
        <w:t>»</w:t>
      </w:r>
      <w:r w:rsidR="007139AF">
        <w:t xml:space="preserve"> para comprobar si </w:t>
      </w:r>
      <w:r w:rsidR="007139AF" w:rsidRPr="007139AF">
        <w:t xml:space="preserve">una medida en particular </w:t>
      </w:r>
      <w:r w:rsidR="007139AF">
        <w:t>equivale a una «pena», distinción que no siempre es clara en la práctica</w:t>
      </w:r>
      <w:r w:rsidR="00546ACC">
        <w:rPr>
          <w:rStyle w:val="Refdenotaalpie"/>
        </w:rPr>
        <w:footnoteReference w:id="23"/>
      </w:r>
      <w:r w:rsidR="007139AF">
        <w:t>.</w:t>
      </w:r>
      <w:r w:rsidRPr="00191545">
        <w:t xml:space="preserve"> </w:t>
      </w:r>
    </w:p>
    <w:p w:rsidR="002C2115" w:rsidRDefault="007B3BBC" w:rsidP="007B3BBC">
      <w:r>
        <w:t xml:space="preserve">Como se dijo anteriormente, para el TEDH </w:t>
      </w:r>
      <w:r w:rsidRPr="001440EC">
        <w:t xml:space="preserve">el punto de partida de cualquier valoración sobre la existencia de una </w:t>
      </w:r>
      <w:r w:rsidR="006C4ED7">
        <w:t>«</w:t>
      </w:r>
      <w:r w:rsidRPr="001440EC">
        <w:t>pena</w:t>
      </w:r>
      <w:r w:rsidR="006C4ED7">
        <w:t>»</w:t>
      </w:r>
      <w:r w:rsidRPr="001440EC">
        <w:t xml:space="preserve"> </w:t>
      </w:r>
      <w:r w:rsidR="006C4ED7">
        <w:t>consiste en comprobar</w:t>
      </w:r>
      <w:r w:rsidRPr="001440EC">
        <w:t xml:space="preserve"> si la </w:t>
      </w:r>
      <w:r w:rsidR="006C4ED7">
        <w:t>«</w:t>
      </w:r>
      <w:r w:rsidRPr="001440EC">
        <w:t>medida</w:t>
      </w:r>
      <w:r w:rsidR="006C4ED7">
        <w:t>» (legislativa, judicial o administrativa)</w:t>
      </w:r>
      <w:r w:rsidRPr="001440EC">
        <w:t xml:space="preserve"> se impone a raíz de una condena tras una</w:t>
      </w:r>
      <w:r>
        <w:t xml:space="preserve"> «</w:t>
      </w:r>
      <w:r w:rsidRPr="001440EC">
        <w:t>acusación en material penal</w:t>
      </w:r>
      <w:r>
        <w:t>», aunque teniendo en cuenta otros factores como</w:t>
      </w:r>
      <w:r w:rsidR="002C2115">
        <w:t xml:space="preserve"> la caracterización de </w:t>
      </w:r>
      <w:r w:rsidR="006C4ED7">
        <w:t>dicha</w:t>
      </w:r>
      <w:r w:rsidR="002C2115">
        <w:t xml:space="preserve"> medida en el </w:t>
      </w:r>
      <w:r w:rsidR="006C4ED7">
        <w:t>D</w:t>
      </w:r>
      <w:r w:rsidR="002C2115">
        <w:t>erecho penal nacional,</w:t>
      </w:r>
      <w:r>
        <w:t xml:space="preserve"> </w:t>
      </w:r>
      <w:r w:rsidR="002C2115">
        <w:t xml:space="preserve">su naturaleza y finalidad, los procedimientos que encierra su ejecución </w:t>
      </w:r>
      <w:r w:rsidRPr="001440EC">
        <w:t xml:space="preserve">y </w:t>
      </w:r>
      <w:r w:rsidR="007A039E">
        <w:t>la</w:t>
      </w:r>
      <w:r w:rsidRPr="001440EC">
        <w:t xml:space="preserve"> gravedad</w:t>
      </w:r>
      <w:r w:rsidR="007A039E">
        <w:rPr>
          <w:rStyle w:val="Refdenotaalpie"/>
        </w:rPr>
        <w:footnoteReference w:id="24"/>
      </w:r>
      <w:r>
        <w:t>.</w:t>
      </w:r>
      <w:r w:rsidR="007A039E">
        <w:t xml:space="preserve"> </w:t>
      </w:r>
      <w:r w:rsidR="00752454">
        <w:t xml:space="preserve"> Se trata, en palabras de algunos autores, de «</w:t>
      </w:r>
      <w:r w:rsidR="00752454" w:rsidRPr="007B3BBC">
        <w:t>levantar el velo</w:t>
      </w:r>
      <w:r w:rsidR="00752454">
        <w:t>»</w:t>
      </w:r>
      <w:r w:rsidR="00752454" w:rsidRPr="007B3BBC">
        <w:t xml:space="preserve"> </w:t>
      </w:r>
      <w:r w:rsidR="00752454">
        <w:t>e incluir en el concepto de «pena»</w:t>
      </w:r>
      <w:r w:rsidR="00752454" w:rsidRPr="007B3BBC">
        <w:t xml:space="preserve"> aquello que </w:t>
      </w:r>
      <w:r w:rsidR="003A3802">
        <w:t xml:space="preserve">materialmente </w:t>
      </w:r>
      <w:r w:rsidR="00752454" w:rsidRPr="007B3BBC">
        <w:t xml:space="preserve">tenga un impacto efectivo en su severidad aunque </w:t>
      </w:r>
      <w:r w:rsidR="003A3802">
        <w:t xml:space="preserve">formalmente </w:t>
      </w:r>
      <w:r w:rsidR="00752454" w:rsidRPr="007B3BBC">
        <w:t xml:space="preserve">pertenezca </w:t>
      </w:r>
      <w:r w:rsidR="00752454">
        <w:t>al ámbito de la ejecución</w:t>
      </w:r>
      <w:r w:rsidR="00752454">
        <w:rPr>
          <w:rStyle w:val="Refdenotaalpie"/>
        </w:rPr>
        <w:footnoteReference w:id="25"/>
      </w:r>
      <w:r w:rsidR="00752454">
        <w:t>. L</w:t>
      </w:r>
      <w:r w:rsidR="00752454" w:rsidRPr="00752454">
        <w:t>o determinante no sería la fase procesal en que se toma la decisión, sino sus consecuencias materiales: si afecta a la duración de la privación de libertad, por mucho que formalmente estemos ante la aplicación de beneficios penitenciarios (como la redención de penas por el trabajo), materialmente estaremos ante un pronunciamiento relativo a la pena</w:t>
      </w:r>
      <w:r w:rsidR="00752454">
        <w:rPr>
          <w:rStyle w:val="Refdenotaalpie"/>
        </w:rPr>
        <w:footnoteReference w:id="26"/>
      </w:r>
      <w:r w:rsidR="00752454">
        <w:t>.</w:t>
      </w:r>
    </w:p>
    <w:p w:rsidR="00990DBF" w:rsidRDefault="00A76FC7" w:rsidP="00752454">
      <w:r>
        <w:t>A</w:t>
      </w:r>
      <w:r w:rsidR="00752454" w:rsidRPr="00191545">
        <w:t xml:space="preserve"> partir de la STEDH 21 de octubre de 2013 se consolida la «expansión» del principio de legalidad del art. 7</w:t>
      </w:r>
      <w:r w:rsidR="00077A89">
        <w:t>.1</w:t>
      </w:r>
      <w:r w:rsidR="00752454" w:rsidRPr="00191545">
        <w:t xml:space="preserve"> CEDH a cuestiones relacionadas con la ejecución de las penas, como es la «Doctrina Parot», siempre que materialmente afecten a la duración efectiva de la pena. </w:t>
      </w:r>
      <w:r w:rsidR="00077A89">
        <w:t>Poco importa si la «pena» tiene su origen en una Ley formal o en una interpretación jurisprudencia</w:t>
      </w:r>
      <w:r>
        <w:t>l</w:t>
      </w:r>
      <w:r w:rsidR="00077A89">
        <w:t>.</w:t>
      </w:r>
      <w:r w:rsidR="00AE137D">
        <w:t xml:space="preserve"> Esto no quiere decir, claro está, </w:t>
      </w:r>
      <w:r w:rsidR="000106FD">
        <w:t xml:space="preserve">que la noción de «pena» del TEDH se amplíe a cualquier materia referente a la ejecución y cumplimiento de la sanción. </w:t>
      </w:r>
      <w:r w:rsidR="00077A89">
        <w:t xml:space="preserve">De cualquier </w:t>
      </w:r>
      <w:r w:rsidR="000106FD">
        <w:t>modo</w:t>
      </w:r>
      <w:r w:rsidR="00077A89">
        <w:t>, habrá que examinar cada supuesto, caso por caso, para determinar si la medida</w:t>
      </w:r>
      <w:r w:rsidR="00990DBF">
        <w:t xml:space="preserve"> </w:t>
      </w:r>
      <w:r w:rsidR="00077A89">
        <w:t xml:space="preserve">debe ser considerada o no una «pena» y es protegida por el principio de legalidad, a efectos de prohibir su retroactividad. </w:t>
      </w:r>
      <w:r w:rsidR="000106FD">
        <w:t>Recordemos que e</w:t>
      </w:r>
      <w:r w:rsidR="00990DBF" w:rsidRPr="003A3802">
        <w:t xml:space="preserve">l TEDH viene considerado como «medidas de ejecución» o «medidas de aplicación» (y por tanto, no como «penas») </w:t>
      </w:r>
      <w:r w:rsidR="00676049" w:rsidRPr="003A3802">
        <w:t>aspectos tan importantes como la remisión de una condena o el cambio del régimen de excarcelación anticipada en las penas de cadena perpetua</w:t>
      </w:r>
      <w:r w:rsidR="00676049">
        <w:rPr>
          <w:rStyle w:val="Refdenotaalpie"/>
          <w:sz w:val="23"/>
          <w:szCs w:val="23"/>
        </w:rPr>
        <w:footnoteReference w:id="27"/>
      </w:r>
      <w:r w:rsidR="005815FB">
        <w:rPr>
          <w:sz w:val="23"/>
          <w:szCs w:val="23"/>
        </w:rPr>
        <w:t>.</w:t>
      </w:r>
    </w:p>
    <w:p w:rsidR="008F2F6C" w:rsidRDefault="000106FD" w:rsidP="00234BAF">
      <w:pPr>
        <w:rPr>
          <w:lang w:eastAsia="es-ES"/>
        </w:rPr>
      </w:pPr>
      <w:r>
        <w:rPr>
          <w:lang w:eastAsia="es-ES"/>
        </w:rPr>
        <w:lastRenderedPageBreak/>
        <w:t xml:space="preserve">En el ámbito nacional, </w:t>
      </w:r>
      <w:r w:rsidR="00FA5860">
        <w:rPr>
          <w:lang w:eastAsia="es-ES"/>
        </w:rPr>
        <w:t xml:space="preserve">más allá de la excarcelación de algunos penados que redimían penas por el trabajo, la doctrina de la legalidad </w:t>
      </w:r>
      <w:r w:rsidR="00AE137D">
        <w:rPr>
          <w:lang w:eastAsia="es-ES"/>
        </w:rPr>
        <w:t>a</w:t>
      </w:r>
      <w:r w:rsidR="00FA5860">
        <w:rPr>
          <w:lang w:eastAsia="es-ES"/>
        </w:rPr>
        <w:t>sentada por el TEDH</w:t>
      </w:r>
      <w:r w:rsidR="00AE137D">
        <w:rPr>
          <w:lang w:eastAsia="es-ES"/>
        </w:rPr>
        <w:t xml:space="preserve"> </w:t>
      </w:r>
      <w:r w:rsidR="00FA5860">
        <w:rPr>
          <w:lang w:eastAsia="es-ES"/>
        </w:rPr>
        <w:t xml:space="preserve">debería inspirar </w:t>
      </w:r>
      <w:r w:rsidR="00AE137D">
        <w:rPr>
          <w:lang w:eastAsia="es-ES"/>
        </w:rPr>
        <w:t>a</w:t>
      </w:r>
      <w:r w:rsidR="00FA5860">
        <w:rPr>
          <w:lang w:eastAsia="es-ES"/>
        </w:rPr>
        <w:t xml:space="preserve"> nuestros Tribunales patrios</w:t>
      </w:r>
      <w:r w:rsidR="00AE137D">
        <w:rPr>
          <w:lang w:eastAsia="es-ES"/>
        </w:rPr>
        <w:t xml:space="preserve">, </w:t>
      </w:r>
      <w:r w:rsidR="00AE137D">
        <w:t xml:space="preserve">conforme al </w:t>
      </w:r>
      <w:r w:rsidR="00AE137D">
        <w:rPr>
          <w:lang w:eastAsia="es-ES"/>
        </w:rPr>
        <w:t>art. 10.2 CE, en la interpretación del principio de le</w:t>
      </w:r>
      <w:r w:rsidR="00EC79D2">
        <w:rPr>
          <w:lang w:eastAsia="es-ES"/>
        </w:rPr>
        <w:t>galidad</w:t>
      </w:r>
      <w:r w:rsidR="00AE137D">
        <w:rPr>
          <w:lang w:eastAsia="es-ES"/>
        </w:rPr>
        <w:t xml:space="preserve">.  </w:t>
      </w:r>
    </w:p>
    <w:p w:rsidR="00234BAF" w:rsidRDefault="00FA5860" w:rsidP="008F2F6C">
      <w:r>
        <w:rPr>
          <w:lang w:eastAsia="es-ES"/>
        </w:rPr>
        <w:t xml:space="preserve">En primer lugar, </w:t>
      </w:r>
      <w:r>
        <w:t>debería ayudar a flexibilizar la</w:t>
      </w:r>
      <w:r w:rsidR="00234BAF">
        <w:t xml:space="preserve"> tradicional</w:t>
      </w:r>
      <w:r>
        <w:t xml:space="preserve"> postura del TS </w:t>
      </w:r>
      <w:r w:rsidR="00234BAF">
        <w:t xml:space="preserve">acerca de la retroactividad desfavorable de la jurisprudencia, dejando a salvo la posibilidad de que los Tribunales puedan </w:t>
      </w:r>
      <w:r w:rsidR="00234BAF" w:rsidRPr="005A7D48">
        <w:t>reinterpretar retroactivamente la norma</w:t>
      </w:r>
      <w:r w:rsidR="00234BAF">
        <w:t xml:space="preserve"> penal. Es cierto que en estos casos la </w:t>
      </w:r>
      <w:r w:rsidR="008F2F6C">
        <w:t xml:space="preserve">ley sigue siendo la misma, pues </w:t>
      </w:r>
      <w:r w:rsidR="00234BAF">
        <w:t>lo único que cambia es la interpretación que hacen de ella los Tribunales</w:t>
      </w:r>
      <w:r w:rsidR="008F2F6C">
        <w:t>. Pero el principio de legalidad penal también ha de tener una vertiente cercana a la seguridad jurídica que garantiza nuestra Constitución (art. 9.3 CE), que</w:t>
      </w:r>
      <w:r w:rsidR="00234BAF">
        <w:t xml:space="preserve"> podría verse afectada ante un cambio jurisprudencial inopinado y gravoso</w:t>
      </w:r>
      <w:r w:rsidR="008F2F6C">
        <w:rPr>
          <w:rStyle w:val="Refdenotaalpie"/>
        </w:rPr>
        <w:footnoteReference w:id="28"/>
      </w:r>
      <w:r w:rsidR="00234BAF">
        <w:t>.</w:t>
      </w:r>
      <w:r w:rsidR="00EC79D2">
        <w:t xml:space="preserve"> </w:t>
      </w:r>
      <w:r w:rsidR="00234BAF">
        <w:t xml:space="preserve">Esto ocurriría cuando los condenados tienen </w:t>
      </w:r>
      <w:r w:rsidR="008F2F6C">
        <w:t>una expectativa real y concreta</w:t>
      </w:r>
      <w:r w:rsidR="00234BAF">
        <w:t xml:space="preserve"> </w:t>
      </w:r>
      <w:r w:rsidR="00EC79D2">
        <w:t>de</w:t>
      </w:r>
      <w:r w:rsidR="00234BAF">
        <w:t xml:space="preserve"> ser excarcelados en una u otra fecha, en base a la práctica procesal habitual de Jue</w:t>
      </w:r>
      <w:r w:rsidR="00CF2C58">
        <w:t>ces y Tribunales, como viene a indicar el TEDH.</w:t>
      </w:r>
    </w:p>
    <w:p w:rsidR="00F5610D" w:rsidRDefault="001C2B65" w:rsidP="00F5610D">
      <w:r>
        <w:t xml:space="preserve">En segundo lugar, </w:t>
      </w:r>
      <w:r w:rsidR="00C7472D">
        <w:t>también debería</w:t>
      </w:r>
      <w:r w:rsidR="00050D60">
        <w:t xml:space="preserve"> </w:t>
      </w:r>
      <w:r w:rsidR="00EC79D2">
        <w:t>modificar</w:t>
      </w:r>
      <w:r w:rsidR="00050D60">
        <w:t xml:space="preserve"> la postura del TC sobre el ámbito de protección del principio de legalidad penal (art. 25.1 CE), que debe abrirse a aspectos formalmente relacionados con la ejecución pero que materialmente tienen un i</w:t>
      </w:r>
      <w:r w:rsidR="00050D60">
        <w:rPr>
          <w:lang w:eastAsia="es-ES"/>
        </w:rPr>
        <w:t>mpacto significativo y efectivo en la duración de la pena</w:t>
      </w:r>
      <w:r w:rsidR="00C7472D">
        <w:rPr>
          <w:lang w:eastAsia="es-ES"/>
        </w:rPr>
        <w:t xml:space="preserve">. </w:t>
      </w:r>
      <w:r w:rsidR="00050D60">
        <w:rPr>
          <w:lang w:eastAsia="es-ES"/>
        </w:rPr>
        <w:t xml:space="preserve">Se trata de dejar atrás una distinción formalista que polarice entre interpretación y aplicación de los tipos o subsunción </w:t>
      </w:r>
      <w:r w:rsidR="00050D60">
        <w:rPr>
          <w:shd w:val="clear" w:color="auto" w:fill="FFFFFF"/>
        </w:rPr>
        <w:t xml:space="preserve">de los hechos probados e imposición de la pena, por un lado, y </w:t>
      </w:r>
      <w:r w:rsidR="00050D60">
        <w:rPr>
          <w:lang w:eastAsia="es-ES"/>
        </w:rPr>
        <w:t xml:space="preserve">ejecución de la pena, por otro. </w:t>
      </w:r>
      <w:r w:rsidR="00C7472D">
        <w:rPr>
          <w:lang w:eastAsia="es-ES"/>
        </w:rPr>
        <w:t xml:space="preserve">Es posible adoptar </w:t>
      </w:r>
      <w:r w:rsidR="00050D60">
        <w:rPr>
          <w:lang w:eastAsia="es-ES"/>
        </w:rPr>
        <w:t xml:space="preserve">una postura más flexible </w:t>
      </w:r>
      <w:r w:rsidR="00050D60" w:rsidRPr="002D1441">
        <w:rPr>
          <w:i/>
        </w:rPr>
        <w:t>in dubio pro libertate</w:t>
      </w:r>
      <w:r>
        <w:t>,</w:t>
      </w:r>
      <w:r w:rsidR="00050D60">
        <w:rPr>
          <w:i/>
        </w:rPr>
        <w:t xml:space="preserve"> </w:t>
      </w:r>
      <w:r w:rsidR="00050D60">
        <w:t>como ya hizo</w:t>
      </w:r>
      <w:r>
        <w:t xml:space="preserve"> el TC</w:t>
      </w:r>
      <w:r w:rsidR="00050D60">
        <w:t xml:space="preserve"> en su momento</w:t>
      </w:r>
      <w:r w:rsidR="00050D60">
        <w:rPr>
          <w:rStyle w:val="Refdenotaalpie"/>
        </w:rPr>
        <w:footnoteReference w:id="29"/>
      </w:r>
      <w:r w:rsidR="00050D60">
        <w:t>.</w:t>
      </w:r>
      <w:r w:rsidR="00144A94">
        <w:t xml:space="preserve"> Este cambio de postura se aventura en la STC </w:t>
      </w:r>
      <w:r w:rsidR="00AE40B9">
        <w:t>261/2015 (FJ. 5), sobre el momento de abono de la prisión provisional (doble abono), donde el TC</w:t>
      </w:r>
      <w:r w:rsidR="00F5610D" w:rsidRPr="00F5610D">
        <w:t xml:space="preserve"> </w:t>
      </w:r>
      <w:r w:rsidR="00F5610D">
        <w:t xml:space="preserve">vincula su postura al principio de seguridad jurídica, refiriéndose a la </w:t>
      </w:r>
      <w:r w:rsidR="00F5610D" w:rsidRPr="00191545">
        <w:t>STEDH 21 de octubre de 2013</w:t>
      </w:r>
      <w:r w:rsidR="00F5610D">
        <w:t xml:space="preserve"> para afirmar que «</w:t>
      </w:r>
      <w:r w:rsidR="00F5610D" w:rsidRPr="00AE40B9">
        <w:rPr>
          <w:i/>
        </w:rPr>
        <w:t xml:space="preserve">el criterio de ‘legalidad’ establecido por el Convenio exige que toda ley debe ser suficientemente precisa para permitir a las personas </w:t>
      </w:r>
      <w:r w:rsidR="00F5610D" w:rsidRPr="00AE40B9">
        <w:t>[…]</w:t>
      </w:r>
      <w:r w:rsidR="00F5610D" w:rsidRPr="00AE40B9">
        <w:rPr>
          <w:i/>
        </w:rPr>
        <w:t xml:space="preserve"> prever, hasta un punto razonable en las circunstancias de cada caso, las consecuencias que pueden derivarse de un acto determinado»</w:t>
      </w:r>
      <w:r w:rsidR="00F5610D">
        <w:t>.</w:t>
      </w:r>
    </w:p>
    <w:p w:rsidR="00BE4923" w:rsidRDefault="00EC79D2" w:rsidP="003F5F0D">
      <w:r>
        <w:rPr>
          <w:lang w:eastAsia="es-ES"/>
        </w:rPr>
        <w:t xml:space="preserve">Finalmente, </w:t>
      </w:r>
      <w:r w:rsidR="00A05A57">
        <w:rPr>
          <w:lang w:eastAsia="es-ES"/>
        </w:rPr>
        <w:t>en relación a</w:t>
      </w:r>
      <w:r w:rsidR="00C10E0C">
        <w:rPr>
          <w:lang w:eastAsia="es-ES"/>
        </w:rPr>
        <w:t xml:space="preserve"> la</w:t>
      </w:r>
      <w:r w:rsidR="00A05A57">
        <w:rPr>
          <w:lang w:eastAsia="es-ES"/>
        </w:rPr>
        <w:t xml:space="preserve"> </w:t>
      </w:r>
      <w:r w:rsidR="00C10E0C">
        <w:t xml:space="preserve">actual </w:t>
      </w:r>
      <w:r w:rsidR="003F5F0D">
        <w:t xml:space="preserve">vigencia de la denominada «Doctrina Parot», debe advertirse </w:t>
      </w:r>
      <w:r w:rsidR="00C82CD0">
        <w:rPr>
          <w:lang w:eastAsia="es-ES"/>
        </w:rPr>
        <w:t xml:space="preserve">que el TEDH, como anteriormente el </w:t>
      </w:r>
      <w:r w:rsidR="008119B2">
        <w:rPr>
          <w:lang w:eastAsia="es-ES"/>
        </w:rPr>
        <w:t>TC</w:t>
      </w:r>
      <w:r w:rsidR="00C82CD0">
        <w:rPr>
          <w:lang w:eastAsia="es-ES"/>
        </w:rPr>
        <w:t xml:space="preserve">, no analiza el fondo de la doctrina, esto es, no valora si el </w:t>
      </w:r>
      <w:r w:rsidR="00C82CD0">
        <w:t>art.</w:t>
      </w:r>
      <w:r w:rsidR="00C82CD0" w:rsidRPr="000A1832">
        <w:t xml:space="preserve"> 70.2ª </w:t>
      </w:r>
      <w:r w:rsidR="00C82CD0">
        <w:t>CP</w:t>
      </w:r>
      <w:r w:rsidR="00C82CD0" w:rsidRPr="000A1832">
        <w:t xml:space="preserve"> de 1973</w:t>
      </w:r>
      <w:r w:rsidR="00C82CD0">
        <w:t xml:space="preserve"> se debe interpretar de una u otra forma, si las redenciones por el trabajo deben aplicarse sobre el máximum o sobre cada pena. El </w:t>
      </w:r>
      <w:r w:rsidR="00C82CD0">
        <w:rPr>
          <w:lang w:eastAsia="es-ES"/>
        </w:rPr>
        <w:t xml:space="preserve">Tribunal de Estrasburgo no dictamina sobre si el cambio jurisprudencial era bueno o malo, mejor o peor, sino sobre su previsibilidad o retroactividad en relación con los preceptos del </w:t>
      </w:r>
      <w:r w:rsidR="00C82CD0">
        <w:t>CEDH que han podido ser conculcados</w:t>
      </w:r>
      <w:r w:rsidR="008119B2">
        <w:t xml:space="preserve">. En consecuencia, </w:t>
      </w:r>
      <w:r w:rsidR="00BE4923">
        <w:t>la «Doctrina Parot», en cuanto a interpretación que es sobre la forma de computar determinadas instituciones penales y penitenciarias</w:t>
      </w:r>
      <w:r w:rsidR="003F5F0D">
        <w:t xml:space="preserve"> </w:t>
      </w:r>
      <w:r w:rsidR="00C10E0C">
        <w:t>en relación a</w:t>
      </w:r>
      <w:r w:rsidR="003F5F0D">
        <w:t xml:space="preserve"> la condena de los penados</w:t>
      </w:r>
      <w:r w:rsidR="00C10E0C">
        <w:t>, permanece todavía incólume.</w:t>
      </w:r>
    </w:p>
    <w:p w:rsidR="00360764" w:rsidRDefault="003F5F0D" w:rsidP="00D7414A">
      <w:r>
        <w:t>Indudablemente, q</w:t>
      </w:r>
      <w:r w:rsidR="00BB7CC3">
        <w:t>ueda d</w:t>
      </w:r>
      <w:r w:rsidR="00BE4923">
        <w:t xml:space="preserve">escartada la posibilidad de aplicarla a </w:t>
      </w:r>
      <w:r w:rsidR="008119B2">
        <w:t>la redención de penas por el trabajo</w:t>
      </w:r>
      <w:r w:rsidR="00C10E0C">
        <w:t>,</w:t>
      </w:r>
      <w:r w:rsidR="008119B2">
        <w:t xml:space="preserve"> conforme al CP de 1973</w:t>
      </w:r>
      <w:r w:rsidR="00B071B6">
        <w:t>, ya que implica una retroactividad desfavorable inadmisible por el principio de legalidad</w:t>
      </w:r>
      <w:r w:rsidR="00BB7CC3">
        <w:t xml:space="preserve">. Pero </w:t>
      </w:r>
      <w:r w:rsidR="008119B2">
        <w:t xml:space="preserve">el </w:t>
      </w:r>
      <w:r>
        <w:t>TS</w:t>
      </w:r>
      <w:r w:rsidR="008119B2">
        <w:t xml:space="preserve"> </w:t>
      </w:r>
      <w:r w:rsidR="00BB7CC3">
        <w:t xml:space="preserve">también </w:t>
      </w:r>
      <w:r w:rsidR="008119B2">
        <w:t xml:space="preserve">venía </w:t>
      </w:r>
      <w:r w:rsidR="008119B2">
        <w:lastRenderedPageBreak/>
        <w:t>aplicando los fundamentos de la «Doctrina Parot</w:t>
      </w:r>
      <w:r w:rsidR="00BB7CC3">
        <w:t xml:space="preserve">» </w:t>
      </w:r>
      <w:r w:rsidR="008119B2">
        <w:t xml:space="preserve">a la aplicación de los días de abono de la </w:t>
      </w:r>
      <w:r w:rsidR="002F7B81">
        <w:t>prisión</w:t>
      </w:r>
      <w:r w:rsidR="008119B2">
        <w:t xml:space="preserve"> provisional</w:t>
      </w:r>
      <w:r w:rsidR="002F7B81">
        <w:t xml:space="preserve"> en el </w:t>
      </w:r>
      <w:r w:rsidR="0077096D">
        <w:t>CP</w:t>
      </w:r>
      <w:r w:rsidR="002F7B81">
        <w:t xml:space="preserve"> de 1995</w:t>
      </w:r>
      <w:r w:rsidR="002F7B81">
        <w:rPr>
          <w:rStyle w:val="Refdenotaalpie"/>
        </w:rPr>
        <w:footnoteReference w:id="30"/>
      </w:r>
      <w:r w:rsidR="008119B2">
        <w:t xml:space="preserve">. </w:t>
      </w:r>
      <w:r w:rsidR="00FE1D1B">
        <w:t>Conforme a la misma, el abono de la prisión preventiva debe aplicarse a cada una de las penas que sucesivamente se van dejando extinguidas, no al límite máximo de cumplimiento.</w:t>
      </w:r>
      <w:r>
        <w:t xml:space="preserve"> Precisamente, c</w:t>
      </w:r>
      <w:r w:rsidR="00BB7CC3">
        <w:t>omprobamos que</w:t>
      </w:r>
      <w:r>
        <w:t>,</w:t>
      </w:r>
      <w:r w:rsidR="00BB7CC3">
        <w:t xml:space="preserve"> con </w:t>
      </w:r>
      <w:r w:rsidR="00C82CD0">
        <w:t xml:space="preserve">posterioridad </w:t>
      </w:r>
      <w:r w:rsidR="00BB7CC3">
        <w:t xml:space="preserve">a la </w:t>
      </w:r>
      <w:r w:rsidR="00BB7CC3" w:rsidRPr="00191545">
        <w:t>STEDH 21 de octubre</w:t>
      </w:r>
      <w:r w:rsidR="00BB7CC3">
        <w:t xml:space="preserve"> de 2013</w:t>
      </w:r>
      <w:r>
        <w:t>,</w:t>
      </w:r>
      <w:r w:rsidR="00BB7CC3">
        <w:t xml:space="preserve"> </w:t>
      </w:r>
      <w:r w:rsidR="00C82CD0">
        <w:t xml:space="preserve">el TS sigue manteniendo </w:t>
      </w:r>
      <w:r w:rsidR="00BB7CC3">
        <w:t xml:space="preserve">la aplicación de la «Doctrina Parot» </w:t>
      </w:r>
      <w:r w:rsidR="00C82CD0">
        <w:t>a efectos del doble abono de prisión preventiva</w:t>
      </w:r>
      <w:r>
        <w:t>; lo que evidencia que el fundamento de esta doctrina no ha sido modificado</w:t>
      </w:r>
      <w:r>
        <w:rPr>
          <w:rStyle w:val="Refdenotaalpie"/>
        </w:rPr>
        <w:footnoteReference w:id="31"/>
      </w:r>
      <w:r>
        <w:t xml:space="preserve">.  </w:t>
      </w:r>
    </w:p>
    <w:p w:rsidR="00E61B87" w:rsidRDefault="00E61B87" w:rsidP="00D7414A">
      <w:pPr>
        <w:rPr>
          <w:b/>
          <w:sz w:val="23"/>
          <w:szCs w:val="23"/>
        </w:rPr>
      </w:pPr>
    </w:p>
    <w:sectPr w:rsidR="00E61B87" w:rsidSect="00153657">
      <w:headerReference w:type="default" r:id="rId8"/>
      <w:footerReference w:type="default" r:id="rId9"/>
      <w:footnotePr>
        <w:numRestart w:val="eachSect"/>
      </w:foot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8C6" w:rsidRDefault="007C18C6" w:rsidP="00282EFB">
      <w:pPr>
        <w:spacing w:before="0" w:after="0"/>
      </w:pPr>
      <w:r>
        <w:separator/>
      </w:r>
    </w:p>
  </w:endnote>
  <w:endnote w:type="continuationSeparator" w:id="0">
    <w:p w:rsidR="007C18C6" w:rsidRDefault="007C18C6" w:rsidP="00282EF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3 LT Std">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8C6" w:rsidRDefault="007C18C6" w:rsidP="00390625">
    <w:pPr>
      <w:pStyle w:val="Piedepgina"/>
      <w:tabs>
        <w:tab w:val="left" w:pos="6831"/>
      </w:tabs>
      <w:jc w:val="left"/>
    </w:pPr>
    <w:r>
      <w:tab/>
    </w:r>
    <w:r>
      <w:tab/>
    </w:r>
    <w:r>
      <w:tab/>
    </w:r>
    <w:r>
      <w:fldChar w:fldCharType="begin"/>
    </w:r>
    <w:r>
      <w:instrText>PAGE   \* MERGEFORMAT</w:instrText>
    </w:r>
    <w:r>
      <w:fldChar w:fldCharType="separate"/>
    </w:r>
    <w:r w:rsidR="00B327B2">
      <w:rPr>
        <w:noProof/>
      </w:rPr>
      <w:t>1</w:t>
    </w:r>
    <w:r>
      <w:rPr>
        <w:noProof/>
      </w:rPr>
      <w:fldChar w:fldCharType="end"/>
    </w:r>
  </w:p>
  <w:p w:rsidR="007C18C6" w:rsidRDefault="007C18C6" w:rsidP="009D7266">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8C6" w:rsidRDefault="007C18C6" w:rsidP="00282EFB">
      <w:pPr>
        <w:spacing w:before="0" w:after="0"/>
      </w:pPr>
      <w:r>
        <w:separator/>
      </w:r>
    </w:p>
  </w:footnote>
  <w:footnote w:type="continuationSeparator" w:id="0">
    <w:p w:rsidR="007C18C6" w:rsidRDefault="007C18C6" w:rsidP="00282EFB">
      <w:pPr>
        <w:spacing w:before="0" w:after="0"/>
      </w:pPr>
      <w:r>
        <w:continuationSeparator/>
      </w:r>
    </w:p>
  </w:footnote>
  <w:footnote w:id="1">
    <w:p w:rsidR="004E6747" w:rsidRDefault="004E6747" w:rsidP="004E6747">
      <w:pPr>
        <w:pStyle w:val="Piedepgina"/>
      </w:pPr>
      <w:r>
        <w:rPr>
          <w:rStyle w:val="Refdenotaalpie"/>
        </w:rPr>
        <w:footnoteRef/>
      </w:r>
      <w:r>
        <w:t xml:space="preserve"> E</w:t>
      </w:r>
      <w:r w:rsidR="008605D7">
        <w:t xml:space="preserve">l contenido de este trabajo corresponde a la intervención </w:t>
      </w:r>
      <w:r w:rsidR="00E35818">
        <w:t>del</w:t>
      </w:r>
      <w:r w:rsidR="00CC71F9">
        <w:t xml:space="preserve"> autor el</w:t>
      </w:r>
      <w:r w:rsidR="00E35818">
        <w:t xml:space="preserve"> día 11 de noviembre de 2016 en los </w:t>
      </w:r>
      <w:r w:rsidR="00E35818" w:rsidRPr="00E35818">
        <w:rPr>
          <w:i/>
        </w:rPr>
        <w:t>XVIII Encuentros de los Servicios de Orientación y Asistencia Jurídica Penitenciaria</w:t>
      </w:r>
      <w:r w:rsidR="00E35818">
        <w:t xml:space="preserve"> de los Colegios de Abogados de España en Las Palmas de Gran Canaria. </w:t>
      </w:r>
    </w:p>
  </w:footnote>
  <w:footnote w:id="2">
    <w:p w:rsidR="00774EE2" w:rsidRDefault="00774EE2" w:rsidP="00B279E1">
      <w:pPr>
        <w:pStyle w:val="Piedepgina"/>
      </w:pPr>
      <w:r>
        <w:rPr>
          <w:rStyle w:val="Refdenotaalpie"/>
        </w:rPr>
        <w:footnoteRef/>
      </w:r>
      <w:r>
        <w:t xml:space="preserve"> </w:t>
      </w:r>
      <w:r w:rsidRPr="00B279E1">
        <w:t xml:space="preserve">La STS </w:t>
      </w:r>
      <w:smartTag w:uri="urn:schemas-microsoft-com:office:smarttags" w:element="date">
        <w:smartTagPr>
          <w:attr w:name="ls" w:val="trans"/>
          <w:attr w:name="Month" w:val="11"/>
          <w:attr w:name="Day" w:val="14"/>
          <w:attr w:name="Year" w:val="2008"/>
        </w:smartTagPr>
        <w:r w:rsidRPr="00B279E1">
          <w:t>14 de noviembre de 2008</w:t>
        </w:r>
      </w:smartTag>
      <w:r w:rsidRPr="00B279E1">
        <w:t xml:space="preserve"> (FJ. 4) ilustra la «Doctrina Parot» con un ejemplo particularmente aclaratorio</w:t>
      </w:r>
      <w:r w:rsidR="00B279E1">
        <w:t xml:space="preserve"> aplicado sobre la legislación vigente (Código Penal de 1995)</w:t>
      </w:r>
      <w:r w:rsidRPr="00B279E1">
        <w:t xml:space="preserve">: </w:t>
      </w:r>
      <w:r w:rsidRPr="00B279E1">
        <w:rPr>
          <w:i/>
        </w:rPr>
        <w:t xml:space="preserve">«De este modo, condenada una persona a doce penas (en el mismo o distintos procesos) que sumen 100 años de prisión, y establecido el límite máximo de cumplimiento por vía del art. 76.1 ó </w:t>
      </w:r>
      <w:smartTag w:uri="urn:schemas-microsoft-com:office:smarttags" w:element="metricconverter">
        <w:smartTagPr>
          <w:attr w:name="ProductID" w:val="2 C"/>
        </w:smartTagPr>
        <w:r w:rsidRPr="00B279E1">
          <w:rPr>
            <w:i/>
          </w:rPr>
          <w:t>2 C</w:t>
        </w:r>
      </w:smartTag>
      <w:r w:rsidR="00AD4F20">
        <w:rPr>
          <w:i/>
        </w:rPr>
        <w:t>P</w:t>
      </w:r>
      <w:r w:rsidRPr="00B279E1">
        <w:rPr>
          <w:i/>
        </w:rPr>
        <w:t>, en veinte años, habrá de empezar a cumplir la más grave de aquéllas, a la que le serán aplicables los beneficios correspondientes a la misma. Si transcurren veinte años de cumplimiento efectivo de esa primera pena con el descuento de los beneficios que le correspondan, sin haberlo extinguido, el resto pendiente y las demás penas «se declararán extinguidas». Pero si, cumplida en su totalidad (con el descuento de los beneficios que procedan) esa primera pena, no se ha alcanzado todavía el límite máximo establecido, se continuará con el cumplimiento de la siguiente pena más grave, con sus beneficios, y así sucesivamente hasta cubrir dicho máximo de veinte años de cumplimiento efectivo de privación de libertad, quedando entonces extinguidas las demás penas»</w:t>
      </w:r>
      <w:r w:rsidRPr="00B279E1">
        <w:t>.</w:t>
      </w:r>
    </w:p>
  </w:footnote>
  <w:footnote w:id="3">
    <w:p w:rsidR="004E59A1" w:rsidRPr="00EF4CC0" w:rsidRDefault="004E59A1" w:rsidP="004E59A1">
      <w:pPr>
        <w:pStyle w:val="Piedepgina"/>
      </w:pPr>
      <w:r w:rsidRPr="00EF4CC0">
        <w:rPr>
          <w:rStyle w:val="Refdenotaalpie"/>
        </w:rPr>
        <w:footnoteRef/>
      </w:r>
      <w:r w:rsidRPr="00EF4CC0">
        <w:t xml:space="preserve"> De acuerdo con el art. 100 </w:t>
      </w:r>
      <w:r w:rsidR="001A20AA">
        <w:t xml:space="preserve">del Código Penal </w:t>
      </w:r>
      <w:r w:rsidRPr="00EF4CC0">
        <w:t xml:space="preserve">de 1973: </w:t>
      </w:r>
      <w:r w:rsidRPr="001A20AA">
        <w:rPr>
          <w:rFonts w:eastAsia="Times New Roman"/>
          <w:i/>
          <w:szCs w:val="24"/>
        </w:rPr>
        <w:t xml:space="preserve">«Al recluso trabajador se abonará, para el cumplimiento de la pena impuesta, previa aprobación del Juez de </w:t>
      </w:r>
      <w:r w:rsidRPr="001A20AA">
        <w:rPr>
          <w:i/>
        </w:rPr>
        <w:t>vigilancia,</w:t>
      </w:r>
      <w:r w:rsidRPr="001A20AA">
        <w:rPr>
          <w:rFonts w:eastAsia="Times New Roman"/>
          <w:i/>
          <w:szCs w:val="24"/>
        </w:rPr>
        <w:t xml:space="preserve"> un día por cada dos de trabajo, y el tiempo así redimido, se le contará también para la concesión de la libertad condicional»</w:t>
      </w:r>
      <w:r w:rsidRPr="00EF4CC0">
        <w:rPr>
          <w:rFonts w:eastAsia="Times New Roman"/>
          <w:szCs w:val="24"/>
        </w:rPr>
        <w:t>.</w:t>
      </w:r>
    </w:p>
  </w:footnote>
  <w:footnote w:id="4">
    <w:p w:rsidR="00B05F3F" w:rsidRDefault="00B05F3F" w:rsidP="00B05F3F">
      <w:pPr>
        <w:pStyle w:val="Piedepgina"/>
      </w:pPr>
      <w:r>
        <w:rPr>
          <w:rStyle w:val="Refdenotaalpie"/>
        </w:rPr>
        <w:footnoteRef/>
      </w:r>
      <w:r>
        <w:t xml:space="preserve"> </w:t>
      </w:r>
      <w:r w:rsidR="00CC3337">
        <w:t xml:space="preserve">Profundizando en estas cuestiones, </w:t>
      </w:r>
      <w:r w:rsidR="00CC3337">
        <w:rPr>
          <w:i/>
        </w:rPr>
        <w:t xml:space="preserve">vid. </w:t>
      </w:r>
      <w:r w:rsidRPr="00EF4CC0">
        <w:t xml:space="preserve">DÍAZ GÓMEZ, Andrés, «Los efectos de la llamada «Doctrina Parot» sobre las fechas de repercusión </w:t>
      </w:r>
      <w:r w:rsidRPr="00B05F3F">
        <w:t>penitenciaria</w:t>
      </w:r>
      <w:r w:rsidRPr="00EF4CC0">
        <w:t xml:space="preserve"> y su aplicabilidad sobre el Código Penal derogado y vigente», en </w:t>
      </w:r>
      <w:r w:rsidRPr="00EF4CC0">
        <w:rPr>
          <w:i/>
        </w:rPr>
        <w:t>Revista del Instituto Universitario de Investigación en Criminología y Ciencias Penales de la UV</w:t>
      </w:r>
      <w:r w:rsidRPr="00EF4CC0">
        <w:t>, nº 10, 2013</w:t>
      </w:r>
      <w:r w:rsidR="0000091D">
        <w:t>, págs. 80 ss</w:t>
      </w:r>
      <w:r>
        <w:t>.</w:t>
      </w:r>
    </w:p>
  </w:footnote>
  <w:footnote w:id="5">
    <w:p w:rsidR="00CC3337" w:rsidRDefault="00CC3337" w:rsidP="00CC3337">
      <w:pPr>
        <w:pStyle w:val="Piedepgina"/>
      </w:pPr>
      <w:r>
        <w:rPr>
          <w:rStyle w:val="Refdenotaalpie"/>
        </w:rPr>
        <w:footnoteRef/>
      </w:r>
      <w:r>
        <w:t xml:space="preserve"> </w:t>
      </w:r>
      <w:r>
        <w:rPr>
          <w:i/>
        </w:rPr>
        <w:t xml:space="preserve">Vid. </w:t>
      </w:r>
      <w:r>
        <w:t xml:space="preserve">más ampliamente: </w:t>
      </w:r>
      <w:r w:rsidRPr="00EF4CC0">
        <w:t xml:space="preserve">DÍAZ GÓMEZ, Andrés, «La “Doctrina Parot” y sus aspectos formales y constitucionales: a propósito de la sentencia 21 de octubre de 2013 del TEDH», en </w:t>
      </w:r>
      <w:r w:rsidRPr="00EF4CC0">
        <w:rPr>
          <w:i/>
        </w:rPr>
        <w:t>Revista General de Derecho Penal</w:t>
      </w:r>
      <w:r w:rsidRPr="00EF4CC0">
        <w:t>, nº 20, 2013</w:t>
      </w:r>
      <w:r w:rsidR="0000091D">
        <w:t>,</w:t>
      </w:r>
      <w:r w:rsidR="0000091D" w:rsidRPr="0000091D">
        <w:t xml:space="preserve"> </w:t>
      </w:r>
      <w:r w:rsidR="0000091D" w:rsidRPr="00EF4CC0">
        <w:t xml:space="preserve">págs. </w:t>
      </w:r>
      <w:r w:rsidR="0000091D">
        <w:t>5 ss</w:t>
      </w:r>
      <w:r>
        <w:t>.</w:t>
      </w:r>
    </w:p>
  </w:footnote>
  <w:footnote w:id="6">
    <w:p w:rsidR="00D7414A" w:rsidRPr="00EF4CC0" w:rsidRDefault="00D7414A" w:rsidP="00C46D11">
      <w:pPr>
        <w:pStyle w:val="Piedepgina"/>
      </w:pPr>
      <w:r w:rsidRPr="00EF4CC0">
        <w:rPr>
          <w:rStyle w:val="Refdenotaalpie"/>
        </w:rPr>
        <w:footnoteRef/>
      </w:r>
      <w:r w:rsidRPr="00EF4CC0">
        <w:t xml:space="preserve"> La equiparación de la «Doc</w:t>
      </w:r>
      <w:r w:rsidR="00814765">
        <w:t xml:space="preserve">trina Parot» con el art. 78 CP </w:t>
      </w:r>
      <w:r w:rsidRPr="00EF4CC0">
        <w:t xml:space="preserve">ha sido constante en la doctrina. Sin embargo, resulta muy diferente realizar </w:t>
      </w:r>
      <w:r w:rsidRPr="00EF4CC0">
        <w:rPr>
          <w:rStyle w:val="nfasis"/>
        </w:rPr>
        <w:t>el cómputo de cada institución pena por pena («Doctrina Parot») que referirlo a la suma aritmética de todas la</w:t>
      </w:r>
      <w:r w:rsidR="00814765">
        <w:rPr>
          <w:rStyle w:val="nfasis"/>
        </w:rPr>
        <w:t xml:space="preserve">s penas conjuntamente (art. 78). </w:t>
      </w:r>
      <w:r w:rsidR="00814765">
        <w:rPr>
          <w:rStyle w:val="nfasis"/>
          <w:i/>
        </w:rPr>
        <w:t>V</w:t>
      </w:r>
      <w:r w:rsidRPr="00EF4CC0">
        <w:rPr>
          <w:i/>
        </w:rPr>
        <w:t xml:space="preserve">id. </w:t>
      </w:r>
      <w:r w:rsidR="00C46D11">
        <w:t xml:space="preserve">RODRÍGUEZ HORCAJO, Daniel, «Nulla poena sine lege y retroactividad de cambios jurisprudenciales: modificaciones tras la STEDH as. Del Río Prada c. España (21/10/2013)», en </w:t>
      </w:r>
      <w:r w:rsidR="00C46D11" w:rsidRPr="00AE1FBC">
        <w:rPr>
          <w:i/>
        </w:rPr>
        <w:t>Anuario de derecho penal y ciencias penales</w:t>
      </w:r>
      <w:r w:rsidR="00C46D11" w:rsidRPr="00AE1FBC">
        <w:t>,</w:t>
      </w:r>
      <w:r w:rsidR="00C46D11">
        <w:t xml:space="preserve"> </w:t>
      </w:r>
      <w:r w:rsidR="00C46D11" w:rsidRPr="00AE1FBC">
        <w:t>Tomo 66, Fasc/Mes 1, 2013</w:t>
      </w:r>
      <w:r w:rsidR="00C46D11">
        <w:t>,</w:t>
      </w:r>
      <w:r w:rsidRPr="00EF4CC0">
        <w:t xml:space="preserve"> págs. </w:t>
      </w:r>
      <w:r w:rsidR="00C46D11">
        <w:t>280 a 282</w:t>
      </w:r>
      <w:r w:rsidRPr="00EF4CC0">
        <w:t xml:space="preserve">). </w:t>
      </w:r>
    </w:p>
  </w:footnote>
  <w:footnote w:id="7">
    <w:p w:rsidR="00D7414A" w:rsidRPr="00EF4CC0" w:rsidRDefault="00D7414A" w:rsidP="00D7414A">
      <w:pPr>
        <w:pStyle w:val="Piedepgina"/>
      </w:pPr>
      <w:r w:rsidRPr="00EF4CC0">
        <w:rPr>
          <w:rStyle w:val="Refdenotaalpie"/>
        </w:rPr>
        <w:footnoteRef/>
      </w:r>
      <w:r w:rsidRPr="00EF4CC0">
        <w:t xml:space="preserve"> Así también: </w:t>
      </w:r>
      <w:r w:rsidR="00D25DA7" w:rsidRPr="00EF4CC0">
        <w:t xml:space="preserve">CUERDA RIEZU, Antonio Rafael, «El concurso real y la </w:t>
      </w:r>
      <w:r w:rsidR="00D25DA7" w:rsidRPr="00EF4CC0">
        <w:rPr>
          <w:rStyle w:val="fcr"/>
        </w:rPr>
        <w:t>acumulación</w:t>
      </w:r>
      <w:r w:rsidR="00D25DA7" w:rsidRPr="00EF4CC0">
        <w:t xml:space="preserve"> de </w:t>
      </w:r>
      <w:r w:rsidR="00D25DA7" w:rsidRPr="00EF4CC0">
        <w:rPr>
          <w:rStyle w:val="fcr"/>
        </w:rPr>
        <w:t>penas</w:t>
      </w:r>
      <w:r w:rsidR="00D25DA7" w:rsidRPr="00EF4CC0">
        <w:t xml:space="preserve"> en la sentencia del Tribunal Supremo 197/2006, de 28 de febrero, relativa al caso Henri Parot: observaciones legales y constitucionales», en </w:t>
      </w:r>
      <w:r w:rsidR="00D25DA7" w:rsidRPr="00EF4CC0">
        <w:rPr>
          <w:i/>
        </w:rPr>
        <w:t>Cuadernos de derecho judicial</w:t>
      </w:r>
      <w:r w:rsidR="00D25DA7" w:rsidRPr="00EF4CC0">
        <w:t>, nº 7, 2006</w:t>
      </w:r>
      <w:r w:rsidR="00D25DA7">
        <w:t xml:space="preserve">, </w:t>
      </w:r>
      <w:r w:rsidRPr="00EF4CC0">
        <w:t>pág. 288</w:t>
      </w:r>
    </w:p>
  </w:footnote>
  <w:footnote w:id="8">
    <w:p w:rsidR="00A21C1C" w:rsidRDefault="00A21C1C" w:rsidP="00A21C1C">
      <w:pPr>
        <w:pStyle w:val="Piedepgina"/>
      </w:pPr>
      <w:r>
        <w:rPr>
          <w:rStyle w:val="Refdenotaalpie"/>
        </w:rPr>
        <w:footnoteRef/>
      </w:r>
      <w:r>
        <w:t xml:space="preserve"> </w:t>
      </w:r>
      <w:r>
        <w:rPr>
          <w:i/>
        </w:rPr>
        <w:t xml:space="preserve">V. g. </w:t>
      </w:r>
      <w:r>
        <w:t xml:space="preserve">SSTC 126/1987 (FJ. 11), </w:t>
      </w:r>
      <w:r w:rsidR="00763802">
        <w:t xml:space="preserve">227/1988 (FJ. 9), </w:t>
      </w:r>
      <w:r>
        <w:t>173/1996 (FJ. 3).</w:t>
      </w:r>
    </w:p>
  </w:footnote>
  <w:footnote w:id="9">
    <w:p w:rsidR="00D7414A" w:rsidRPr="00EF4CC0" w:rsidRDefault="00D7414A" w:rsidP="00D7414A">
      <w:pPr>
        <w:pStyle w:val="Piedepgina"/>
      </w:pPr>
      <w:r w:rsidRPr="00EF4CC0">
        <w:rPr>
          <w:rStyle w:val="Refdenotaalpie"/>
        </w:rPr>
        <w:footnoteRef/>
      </w:r>
      <w:r w:rsidRPr="00EF4CC0">
        <w:t xml:space="preserve"> Siempre teniendo en cuenta principios tales como de motivación y de prohibición de analogía, entre otros. </w:t>
      </w:r>
      <w:r w:rsidRPr="00EF4CC0">
        <w:rPr>
          <w:i/>
        </w:rPr>
        <w:t>Vid</w:t>
      </w:r>
      <w:r w:rsidRPr="00EF4CC0">
        <w:t>.</w:t>
      </w:r>
      <w:r w:rsidRPr="00EF4CC0">
        <w:rPr>
          <w:i/>
        </w:rPr>
        <w:t xml:space="preserve"> </w:t>
      </w:r>
      <w:r w:rsidRPr="00EF4CC0">
        <w:t xml:space="preserve">BACIGALUPO ZAPATER, Enrique, </w:t>
      </w:r>
      <w:r w:rsidRPr="00EF4CC0">
        <w:rPr>
          <w:i/>
        </w:rPr>
        <w:t>Principios de derecho penal. Parte general</w:t>
      </w:r>
      <w:r w:rsidRPr="00EF4CC0">
        <w:t xml:space="preserve">, Akal, Madrid, 1998, pág. 86; SERRANO GONZÁLEZ DE MURILLO, José Luis, «Prohibición </w:t>
      </w:r>
      <w:r w:rsidRPr="00EF4CC0">
        <w:rPr>
          <w:rStyle w:val="fcr"/>
        </w:rPr>
        <w:t>de retroactividad</w:t>
      </w:r>
      <w:r w:rsidRPr="00EF4CC0">
        <w:t xml:space="preserve"> y cambios </w:t>
      </w:r>
      <w:r w:rsidRPr="00EF4CC0">
        <w:rPr>
          <w:rStyle w:val="fcr"/>
        </w:rPr>
        <w:t>de</w:t>
      </w:r>
      <w:r w:rsidRPr="00EF4CC0">
        <w:t xml:space="preserve"> orientación en </w:t>
      </w:r>
      <w:r w:rsidRPr="00EF4CC0">
        <w:rPr>
          <w:rStyle w:val="fcr"/>
        </w:rPr>
        <w:t>la jurisprudencia</w:t>
      </w:r>
      <w:r w:rsidRPr="00EF4CC0">
        <w:t xml:space="preserve">», en </w:t>
      </w:r>
      <w:r w:rsidRPr="00EF4CC0">
        <w:rPr>
          <w:i/>
        </w:rPr>
        <w:t xml:space="preserve">Anuario </w:t>
      </w:r>
      <w:r w:rsidRPr="00EF4CC0">
        <w:rPr>
          <w:rStyle w:val="fcr"/>
          <w:i/>
        </w:rPr>
        <w:t>de la</w:t>
      </w:r>
      <w:r w:rsidRPr="00EF4CC0">
        <w:rPr>
          <w:i/>
        </w:rPr>
        <w:t xml:space="preserve"> Facultad </w:t>
      </w:r>
      <w:r w:rsidRPr="00EF4CC0">
        <w:rPr>
          <w:rStyle w:val="fcr"/>
          <w:i/>
        </w:rPr>
        <w:t>de</w:t>
      </w:r>
      <w:r w:rsidRPr="00EF4CC0">
        <w:rPr>
          <w:i/>
        </w:rPr>
        <w:t xml:space="preserve"> Derecho</w:t>
      </w:r>
      <w:r w:rsidRPr="00EF4CC0">
        <w:t xml:space="preserve">, nº 11, 1993, págs. 249 ss.; </w:t>
      </w:r>
      <w:r w:rsidR="00D25DA7" w:rsidRPr="00EF4CC0">
        <w:t xml:space="preserve">GARCÍA-PABLOS DE MOLINA, Antonio, «Relevancia de los cambios de criterio de la doctrina jurisprudencial y los plenos no jurisdiccionales del Tribunal Supremo», en </w:t>
      </w:r>
      <w:r w:rsidR="00D25DA7" w:rsidRPr="00EF4CC0">
        <w:rPr>
          <w:i/>
        </w:rPr>
        <w:t>Cuadernos de Derecho judicial</w:t>
      </w:r>
      <w:r w:rsidR="00D25DA7" w:rsidRPr="00EF4CC0">
        <w:t>, nº 7, 2006</w:t>
      </w:r>
      <w:r w:rsidR="00D25DA7">
        <w:t>,</w:t>
      </w:r>
      <w:r w:rsidRPr="00EF4CC0">
        <w:t xml:space="preserve"> págs. 199 a 204. </w:t>
      </w:r>
    </w:p>
  </w:footnote>
  <w:footnote w:id="10">
    <w:p w:rsidR="00D7414A" w:rsidRPr="00EF4CC0" w:rsidRDefault="00D7414A" w:rsidP="00D7414A">
      <w:pPr>
        <w:pStyle w:val="Piedepgina"/>
      </w:pPr>
      <w:r w:rsidRPr="00EF4CC0">
        <w:rPr>
          <w:rStyle w:val="Refdenotaalpie"/>
        </w:rPr>
        <w:footnoteRef/>
      </w:r>
      <w:r w:rsidRPr="00EF4CC0">
        <w:t xml:space="preserve"> </w:t>
      </w:r>
      <w:r w:rsidR="00D25DA7" w:rsidRPr="00EF4CC0">
        <w:t xml:space="preserve">SERRANO GONZÁLEZ DE MURILLO, José Luis, «Prohibición </w:t>
      </w:r>
      <w:r w:rsidR="00D25DA7" w:rsidRPr="00EF4CC0">
        <w:rPr>
          <w:rStyle w:val="fcr"/>
        </w:rPr>
        <w:t>de retroactividad</w:t>
      </w:r>
      <w:r w:rsidR="00D25DA7" w:rsidRPr="00EF4CC0">
        <w:t xml:space="preserve"> y cambios </w:t>
      </w:r>
      <w:r w:rsidR="00D25DA7" w:rsidRPr="00EF4CC0">
        <w:rPr>
          <w:rStyle w:val="fcr"/>
        </w:rPr>
        <w:t>de</w:t>
      </w:r>
      <w:r w:rsidR="00D25DA7" w:rsidRPr="00EF4CC0">
        <w:t xml:space="preserve"> orientación en </w:t>
      </w:r>
      <w:r w:rsidR="00D25DA7" w:rsidRPr="00EF4CC0">
        <w:rPr>
          <w:rStyle w:val="fcr"/>
        </w:rPr>
        <w:t>la jurisprudencia</w:t>
      </w:r>
      <w:r w:rsidR="00D25DA7" w:rsidRPr="00EF4CC0">
        <w:t xml:space="preserve">», en </w:t>
      </w:r>
      <w:r w:rsidR="00D25DA7" w:rsidRPr="00EF4CC0">
        <w:rPr>
          <w:i/>
        </w:rPr>
        <w:t xml:space="preserve">Anuario </w:t>
      </w:r>
      <w:r w:rsidR="00D25DA7" w:rsidRPr="00EF4CC0">
        <w:rPr>
          <w:rStyle w:val="fcr"/>
          <w:i/>
        </w:rPr>
        <w:t>de la</w:t>
      </w:r>
      <w:r w:rsidR="00D25DA7" w:rsidRPr="00EF4CC0">
        <w:rPr>
          <w:i/>
        </w:rPr>
        <w:t xml:space="preserve"> Facultad </w:t>
      </w:r>
      <w:r w:rsidR="00D25DA7" w:rsidRPr="00EF4CC0">
        <w:rPr>
          <w:rStyle w:val="fcr"/>
          <w:i/>
        </w:rPr>
        <w:t>de</w:t>
      </w:r>
      <w:r w:rsidR="00D25DA7" w:rsidRPr="00EF4CC0">
        <w:rPr>
          <w:i/>
        </w:rPr>
        <w:t xml:space="preserve"> Derecho</w:t>
      </w:r>
      <w:r w:rsidR="00D25DA7" w:rsidRPr="00EF4CC0">
        <w:t>, nº 11, 1993,</w:t>
      </w:r>
      <w:r w:rsidR="00D25DA7">
        <w:t xml:space="preserve"> </w:t>
      </w:r>
      <w:r w:rsidRPr="00EF4CC0">
        <w:t>págs. 253 y 254.</w:t>
      </w:r>
    </w:p>
  </w:footnote>
  <w:footnote w:id="11">
    <w:p w:rsidR="00D7414A" w:rsidRPr="00EF4CC0" w:rsidRDefault="00D7414A" w:rsidP="00D7414A">
      <w:pPr>
        <w:pStyle w:val="Piedepgina"/>
      </w:pPr>
      <w:r w:rsidRPr="00EF4CC0">
        <w:rPr>
          <w:rStyle w:val="Refdenotaalpie"/>
          <w:szCs w:val="20"/>
        </w:rPr>
        <w:footnoteRef/>
      </w:r>
      <w:r w:rsidRPr="00EF4CC0">
        <w:t xml:space="preserve"> La </w:t>
      </w:r>
      <w:r w:rsidRPr="00EF4CC0">
        <w:rPr>
          <w:bCs/>
        </w:rPr>
        <w:t xml:space="preserve">STS 11 de mayo de 1994 (FJ. 8) señalaba ya que </w:t>
      </w:r>
      <w:r w:rsidRPr="00216EF8">
        <w:rPr>
          <w:i/>
        </w:rPr>
        <w:t>«…se debe recordar que el principio de legalidad (art. 25.1 CE) no garantiza la irretroactividad de la jurisprudencia, sino la de las leyes. Como lo reconoce la doctrina dominante, la nueva interpretación del texto legal vigente en el momento de la comisión del delito implica, en todo caso, la aplicación de la ley vigente en el momento del hecho, que es lo garantizado por la prohibición de irretroactividad de las leyes»</w:t>
      </w:r>
      <w:r w:rsidRPr="00EF4CC0">
        <w:t xml:space="preserve">. Según la </w:t>
      </w:r>
      <w:r w:rsidRPr="00EF4CC0">
        <w:rPr>
          <w:bCs/>
        </w:rPr>
        <w:t xml:space="preserve">STS 14 de mayo de 1998 (FJ. 1), </w:t>
      </w:r>
      <w:r w:rsidRPr="00216EF8">
        <w:rPr>
          <w:i/>
        </w:rPr>
        <w:t>«…esta Sala ha mantenido con claridad que el principio de legalidad no garantiza la irretroactividad de la jurisprudencia, sino de las leyes, por lo que no resulta prohibida la aplicación de criterios desfavorables derivados de cambios jurisprudenciales razonados y fundamentados»</w:t>
      </w:r>
      <w:r w:rsidRPr="00EF4CC0">
        <w:t xml:space="preserve">. </w:t>
      </w:r>
    </w:p>
  </w:footnote>
  <w:footnote w:id="12">
    <w:p w:rsidR="00D7414A" w:rsidRPr="00EF4CC0" w:rsidRDefault="00D7414A" w:rsidP="00D7414A">
      <w:pPr>
        <w:pStyle w:val="Piedepgina"/>
        <w:rPr>
          <w:szCs w:val="24"/>
        </w:rPr>
      </w:pPr>
      <w:r w:rsidRPr="00EF4CC0">
        <w:rPr>
          <w:rStyle w:val="Refdenotaalpie"/>
        </w:rPr>
        <w:footnoteRef/>
      </w:r>
      <w:r w:rsidRPr="00EF4CC0">
        <w:t xml:space="preserve"> Señala la mencionada resolución: </w:t>
      </w:r>
      <w:r w:rsidRPr="00216EF8">
        <w:rPr>
          <w:i/>
        </w:rPr>
        <w:t>«…sería pertinente recordar que la doctrina ampliamente mayoritaria y nuestra propia jurisprudencia (ad exemplum, STS 1101/1998) no consideran aplicable a la jurisprudencia</w:t>
      </w:r>
      <w:r w:rsidRPr="00EF4CC0">
        <w:t xml:space="preserve"> </w:t>
      </w:r>
      <w:r w:rsidRPr="00216EF8">
        <w:rPr>
          <w:i/>
        </w:rPr>
        <w:t>la prohibición de irretroactividad,</w:t>
      </w:r>
      <w:r w:rsidR="00216EF8">
        <w:rPr>
          <w:i/>
        </w:rPr>
        <w:t xml:space="preserve"> que el texto del art. 25. 1 CE</w:t>
      </w:r>
      <w:r w:rsidRPr="00216EF8">
        <w:rPr>
          <w:i/>
        </w:rPr>
        <w:t xml:space="preserve"> reserva a la legislación y el del art. 9.3 a disposiciones legales o reglamentarias»</w:t>
      </w:r>
      <w:r w:rsidRPr="00EF4CC0">
        <w:t xml:space="preserve">. Con posterioridad, podemos citar entre otras, por ser suficientemente expresiva, la STS </w:t>
      </w:r>
      <w:r w:rsidRPr="00EF4CC0">
        <w:rPr>
          <w:iCs/>
          <w:szCs w:val="24"/>
        </w:rPr>
        <w:t xml:space="preserve">11 de diciembre de 2008 (FJ. 3): </w:t>
      </w:r>
      <w:r w:rsidRPr="00216EF8">
        <w:rPr>
          <w:i/>
          <w:iCs/>
          <w:szCs w:val="24"/>
        </w:rPr>
        <w:t>«</w:t>
      </w:r>
      <w:r w:rsidRPr="00216EF8">
        <w:rPr>
          <w:i/>
          <w:szCs w:val="24"/>
        </w:rPr>
        <w:t xml:space="preserve">Se pretende también aquí por el recurrente que la doctrina de la sentencia de esta sala de fecha 28.2.2006, la relativa al referido Henry Parot, que es la del auto recurrido, no debió aplicarse al caso, porque ello constituye una vulneración de ese principio de irretroactividad de la ley penal que solo tiene su excepción en la retroacción de la norma más favorable a la que acabamos de referirnos. Ciertamente la doctrina de la mencionada sentencia de 28.2.2006, </w:t>
      </w:r>
      <w:r w:rsidRPr="00EF4CC0">
        <w:rPr>
          <w:szCs w:val="24"/>
        </w:rPr>
        <w:t xml:space="preserve">[…] </w:t>
      </w:r>
      <w:r w:rsidRPr="00216EF8">
        <w:rPr>
          <w:i/>
          <w:szCs w:val="24"/>
        </w:rPr>
        <w:t xml:space="preserve">es menos favorable para el reo que la aplicada con anterioridad a tal resolución judicial; pero tal doctrina no es una ley, sino una interpretación de la ley diferente de la que había prevalecido hasta entonces con efecto vinculante para los demás órganos judiciales...». </w:t>
      </w:r>
    </w:p>
  </w:footnote>
  <w:footnote w:id="13">
    <w:p w:rsidR="00D7414A" w:rsidRPr="00EF4CC0" w:rsidRDefault="00D7414A" w:rsidP="00D7414A">
      <w:pPr>
        <w:pStyle w:val="Piedepgina"/>
      </w:pPr>
      <w:r w:rsidRPr="00EF4CC0">
        <w:rPr>
          <w:rStyle w:val="Refdenotaalpie"/>
        </w:rPr>
        <w:footnoteRef/>
      </w:r>
      <w:r w:rsidRPr="00EF4CC0">
        <w:t xml:space="preserve"> </w:t>
      </w:r>
      <w:r w:rsidRPr="00EF4CC0">
        <w:rPr>
          <w:i/>
        </w:rPr>
        <w:t xml:space="preserve">Vid. </w:t>
      </w:r>
      <w:r w:rsidRPr="00EF4CC0">
        <w:t>por todas, STC 39/2012 (FJ. 3) que a su vez cita otras resoluciones como SSTC 137/1997 (FJ. 7), 13/2003 (FJ. 3), 229/2003 (FJ. 16) o 145/2005 (FJ. 4), entre otras.</w:t>
      </w:r>
    </w:p>
  </w:footnote>
  <w:footnote w:id="14">
    <w:p w:rsidR="00D5482E" w:rsidRPr="00D5482E" w:rsidRDefault="00216EF8" w:rsidP="00D5482E">
      <w:pPr>
        <w:pStyle w:val="Piedepgina"/>
      </w:pPr>
      <w:r>
        <w:rPr>
          <w:rStyle w:val="Refdenotaalpie"/>
        </w:rPr>
        <w:footnoteRef/>
      </w:r>
      <w:r>
        <w:t xml:space="preserve"> </w:t>
      </w:r>
      <w:r w:rsidR="00D5482E">
        <w:t xml:space="preserve">En palabras del TC: </w:t>
      </w:r>
      <w:r w:rsidR="00D5482E" w:rsidRPr="00D5482E">
        <w:rPr>
          <w:i/>
        </w:rPr>
        <w:t xml:space="preserve">«En primer lugar, ha de tenerse en cuenta que no nos encontramos en el ámbito propio del derecho fundamental consagrado en art. 25.1 CE, que es el de la interpretación y aplicación de los tipos penales, la subsunción de los hechos probados en los mismos y la imposición de la pena en ellos prevista </w:t>
      </w:r>
      <w:r w:rsidR="00D5482E" w:rsidRPr="00D5482E">
        <w:t>[…]</w:t>
      </w:r>
      <w:r w:rsidR="00D5482E" w:rsidRPr="00D5482E">
        <w:rPr>
          <w:i/>
        </w:rPr>
        <w:t>,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—y en contra de lo sostenido por el Ministerio Fiscal— el Tribunal Europeo de Derechos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w:t>
      </w:r>
      <w:r w:rsidR="00D5482E">
        <w:rPr>
          <w:i/>
        </w:rPr>
        <w:t>ectar al derecho a la libertad</w:t>
      </w:r>
      <w:r w:rsidR="00D5482E">
        <w:t>...</w:t>
      </w:r>
      <w:r w:rsidR="00D5482E" w:rsidRPr="00D5482E">
        <w:rPr>
          <w:i/>
        </w:rPr>
        <w:t>»</w:t>
      </w:r>
      <w:r w:rsidR="00D5482E">
        <w:t>.</w:t>
      </w:r>
      <w:r w:rsidR="00D5482E" w:rsidRPr="00D5482E">
        <w:t xml:space="preserve"> </w:t>
      </w:r>
      <w:r w:rsidR="00D5482E" w:rsidRPr="00EF4CC0">
        <w:t>STC 39/2012 (FJ. 3)</w:t>
      </w:r>
      <w:r w:rsidR="00D5482E">
        <w:t>.</w:t>
      </w:r>
    </w:p>
  </w:footnote>
  <w:footnote w:id="15">
    <w:p w:rsidR="00A07DB1" w:rsidRDefault="00A07DB1" w:rsidP="00A07DB1">
      <w:pPr>
        <w:pStyle w:val="Piedepgina"/>
      </w:pPr>
      <w:r>
        <w:rPr>
          <w:rStyle w:val="Refdenotaalpie"/>
        </w:rPr>
        <w:footnoteRef/>
      </w:r>
      <w:r>
        <w:t xml:space="preserve"> El asunto lle</w:t>
      </w:r>
      <w:r w:rsidRPr="00E011D2">
        <w:rPr>
          <w:u w:val="single"/>
        </w:rPr>
        <w:t>g</w:t>
      </w:r>
      <w:r>
        <w:t>a al TEDH de la mano una persona condenada en España por diversos delitos de terrorismo que se encontraba cumpliendo condena conforme al CP de 1973 y redimiendo penas por el trabajo, a la que se le termina por aplicar la denominada «Doctrina Parot» (</w:t>
      </w:r>
      <w:r w:rsidRPr="00A07DB1">
        <w:rPr>
          <w:i/>
        </w:rPr>
        <w:t>Inés del Río Prada</w:t>
      </w:r>
      <w:r>
        <w:t>). Tras fijar la Audiencia Nacional la fecha de excarcelación coincidiendo con el máximum de cumplimiento vigente conforme al CP de 1973, reduciendo a la nada las redenciones por el trabajo a través de la estricta aplicación de la interpretación del Tribunal Supremo consignada en la STS 28 de febrero de 2006, esta persona decide recurrir</w:t>
      </w:r>
      <w:r w:rsidRPr="00740CAF">
        <w:t xml:space="preserve"> </w:t>
      </w:r>
      <w:r>
        <w:t xml:space="preserve">ante el TEDH la aplicación retroactiva de la «Doctrina Parot», previo paso por la Audiencia Nacional y el </w:t>
      </w:r>
      <w:r w:rsidR="003F5F0D">
        <w:t>TC</w:t>
      </w:r>
      <w:r>
        <w:t xml:space="preserve">. El recurso se fundamenta en la violación de los arts. 7, 5 y 14 CEDH. </w:t>
      </w:r>
    </w:p>
  </w:footnote>
  <w:footnote w:id="16">
    <w:p w:rsidR="0000091D" w:rsidRDefault="0000091D" w:rsidP="0000091D">
      <w:pPr>
        <w:pStyle w:val="Piedepgina"/>
      </w:pPr>
      <w:r>
        <w:rPr>
          <w:rStyle w:val="Refdenotaalpie"/>
        </w:rPr>
        <w:footnoteRef/>
      </w:r>
      <w:r>
        <w:t xml:space="preserve"> De acuerdo con el art. 7.1 CEDH, </w:t>
      </w:r>
      <w:r w:rsidRPr="0000091D">
        <w:rPr>
          <w:i/>
        </w:rPr>
        <w:t xml:space="preserve">«Nadie podrá ser condenado por una acción o una omisión que, en el momento en que haya sido cometida, no constituya una infracción según el derecho nacional o internacional. Igualmente no podrá ser impuesta una </w:t>
      </w:r>
      <w:r w:rsidRPr="00F97DDF">
        <w:t>pena</w:t>
      </w:r>
      <w:r w:rsidRPr="0000091D">
        <w:rPr>
          <w:i/>
        </w:rPr>
        <w:t xml:space="preserve"> más grave que la aplicable en el momento en que la infracción haya sido cometida»</w:t>
      </w:r>
      <w:r>
        <w:t>.</w:t>
      </w:r>
    </w:p>
  </w:footnote>
  <w:footnote w:id="17">
    <w:p w:rsidR="00022FF0" w:rsidRDefault="00022FF0" w:rsidP="00022FF0">
      <w:pPr>
        <w:pStyle w:val="Piedepgina"/>
      </w:pPr>
      <w:r w:rsidRPr="00293C3F">
        <w:rPr>
          <w:rStyle w:val="Refdenotaalpie"/>
        </w:rPr>
        <w:footnoteRef/>
      </w:r>
      <w:r w:rsidRPr="00293C3F">
        <w:t xml:space="preserve"> §48 STEDH 10 de julio de 2012</w:t>
      </w:r>
      <w:r>
        <w:t xml:space="preserve"> y </w:t>
      </w:r>
      <w:r w:rsidRPr="00293C3F">
        <w:t>§</w:t>
      </w:r>
      <w:r>
        <w:t>82</w:t>
      </w:r>
      <w:r w:rsidRPr="00293C3F">
        <w:t xml:space="preserve"> STEDH 21 de</w:t>
      </w:r>
      <w:r w:rsidRPr="00293C3F">
        <w:rPr>
          <w:rStyle w:val="PiedepginaCar"/>
        </w:rPr>
        <w:t xml:space="preserve"> </w:t>
      </w:r>
      <w:r w:rsidRPr="00293C3F">
        <w:t>octubre de 2013</w:t>
      </w:r>
      <w:r>
        <w:t>.</w:t>
      </w:r>
    </w:p>
  </w:footnote>
  <w:footnote w:id="18">
    <w:p w:rsidR="00022FF0" w:rsidRDefault="00022FF0" w:rsidP="00022FF0">
      <w:pPr>
        <w:pStyle w:val="Piedepgina"/>
      </w:pPr>
      <w:r w:rsidRPr="00293C3F">
        <w:rPr>
          <w:rStyle w:val="Refdenotaalpie"/>
        </w:rPr>
        <w:footnoteRef/>
      </w:r>
      <w:r w:rsidRPr="00293C3F">
        <w:t xml:space="preserve"> §109 STEDH 21 de</w:t>
      </w:r>
      <w:r w:rsidRPr="00293C3F">
        <w:rPr>
          <w:rStyle w:val="PiedepginaCar"/>
        </w:rPr>
        <w:t xml:space="preserve"> </w:t>
      </w:r>
      <w:r w:rsidRPr="00293C3F">
        <w:t>octubre de 2013.</w:t>
      </w:r>
    </w:p>
  </w:footnote>
  <w:footnote w:id="19">
    <w:p w:rsidR="00022FF0" w:rsidRDefault="00022FF0" w:rsidP="00022FF0">
      <w:pPr>
        <w:pStyle w:val="Piedepgina"/>
      </w:pPr>
      <w:r w:rsidRPr="009C1010">
        <w:rPr>
          <w:rStyle w:val="Refdenotaalpie"/>
        </w:rPr>
        <w:footnoteRef/>
      </w:r>
      <w:r w:rsidRPr="009C1010">
        <w:t xml:space="preserve"> </w:t>
      </w:r>
      <w:r w:rsidRPr="009C1010">
        <w:rPr>
          <w:i/>
        </w:rPr>
        <w:t xml:space="preserve">Vid. </w:t>
      </w:r>
      <w:r w:rsidRPr="009C1010">
        <w:t>§54, 60 y 74 STEDH 10 de</w:t>
      </w:r>
      <w:r w:rsidRPr="009C1010">
        <w:rPr>
          <w:rStyle w:val="PiedepginaCar"/>
        </w:rPr>
        <w:t xml:space="preserve"> </w:t>
      </w:r>
      <w:r w:rsidRPr="009C1010">
        <w:t>julio de 2012 y §99, 100, 103, 112, 115 y 177 STEDH 21 de</w:t>
      </w:r>
      <w:r w:rsidRPr="009C1010">
        <w:rPr>
          <w:rStyle w:val="PiedepginaCar"/>
        </w:rPr>
        <w:t xml:space="preserve"> </w:t>
      </w:r>
      <w:r w:rsidRPr="009C1010">
        <w:t>octubre de 2013, fundamentalmente.</w:t>
      </w:r>
    </w:p>
  </w:footnote>
  <w:footnote w:id="20">
    <w:p w:rsidR="00022FF0" w:rsidRDefault="00022FF0" w:rsidP="00022FF0">
      <w:pPr>
        <w:pStyle w:val="Piedepgina"/>
      </w:pPr>
      <w:r w:rsidRPr="009C1010">
        <w:rPr>
          <w:rStyle w:val="Refdenotaalpie"/>
        </w:rPr>
        <w:footnoteRef/>
      </w:r>
      <w:r w:rsidRPr="009C1010">
        <w:t xml:space="preserve"> §124 a 132 STEDH 21 de</w:t>
      </w:r>
      <w:r w:rsidRPr="009C1010">
        <w:rPr>
          <w:rStyle w:val="PiedepginaCar"/>
        </w:rPr>
        <w:t xml:space="preserve"> </w:t>
      </w:r>
      <w:r w:rsidRPr="009C1010">
        <w:t>octubre de 2013.</w:t>
      </w:r>
    </w:p>
  </w:footnote>
  <w:footnote w:id="21">
    <w:p w:rsidR="00CF2C16" w:rsidRDefault="00CF2C16" w:rsidP="00CF2C16">
      <w:pPr>
        <w:pStyle w:val="Piedepgina"/>
      </w:pPr>
      <w:r>
        <w:rPr>
          <w:rStyle w:val="Refdenotaalpie"/>
        </w:rPr>
        <w:footnoteRef/>
      </w:r>
      <w:r>
        <w:t xml:space="preserve"> AAN 61/</w:t>
      </w:r>
      <w:r w:rsidRPr="00CF2C16">
        <w:t>2013, de 22 de octubre de 2013.</w:t>
      </w:r>
    </w:p>
  </w:footnote>
  <w:footnote w:id="22">
    <w:p w:rsidR="002A0D49" w:rsidRDefault="002A0D49" w:rsidP="002A0D49">
      <w:pPr>
        <w:pStyle w:val="Piedepgina"/>
      </w:pPr>
      <w:r>
        <w:rPr>
          <w:rStyle w:val="Refdenotaalpie"/>
        </w:rPr>
        <w:footnoteRef/>
      </w:r>
      <w:r>
        <w:t xml:space="preserve"> </w:t>
      </w:r>
      <w:r w:rsidRPr="00EF4CC0">
        <w:t xml:space="preserve">En sus términos: </w:t>
      </w:r>
      <w:r w:rsidRPr="002A0D49">
        <w:rPr>
          <w:i/>
        </w:rPr>
        <w:t>«En los casos de sentencias condenatorias en ejecución, dictadas con anterioridad al día 28 de febrero de 2006, en las que se aplique el CP derogado de 1973, por no resultar más favorable el CP de 1995, las redenciones ordinarias y extraordinarias que procedan se harán efectivas sobre el límite máximo de cumplimiento establecido conforme al artículo 70 del referido Código de 1973, en la forma en que se venía haciendo con anterioridad a la sentencia de esta Sala nº 197/2006, de 28 de febrero»</w:t>
      </w:r>
      <w:r w:rsidRPr="00EF4CC0">
        <w:t>. Esta nueva doctrina se aplica ya en la STS 14 de noviembre de 2013 (FJ. 1) y sería reiterada en numerosas resoluciones con posterioridad.</w:t>
      </w:r>
    </w:p>
  </w:footnote>
  <w:footnote w:id="23">
    <w:p w:rsidR="00546ACC" w:rsidRDefault="00546ACC" w:rsidP="00546ACC">
      <w:pPr>
        <w:pStyle w:val="Piedepgina"/>
      </w:pPr>
      <w:r>
        <w:rPr>
          <w:rStyle w:val="Refdenotaalpie"/>
        </w:rPr>
        <w:footnoteRef/>
      </w:r>
      <w:r>
        <w:t xml:space="preserve"> </w:t>
      </w:r>
      <w:r w:rsidRPr="00293C3F">
        <w:t>§</w:t>
      </w:r>
      <w:r w:rsidR="007139AF">
        <w:t>142</w:t>
      </w:r>
      <w:r w:rsidRPr="00293C3F">
        <w:t xml:space="preserve"> STEDH </w:t>
      </w:r>
      <w:r w:rsidR="00AE137D" w:rsidRPr="00191545">
        <w:t>12 de febrero de 2008</w:t>
      </w:r>
      <w:r w:rsidR="007139AF">
        <w:t>.</w:t>
      </w:r>
    </w:p>
  </w:footnote>
  <w:footnote w:id="24">
    <w:p w:rsidR="00990DBF" w:rsidRPr="007A039E" w:rsidRDefault="007A039E" w:rsidP="007A039E">
      <w:pPr>
        <w:pStyle w:val="Piedepgina"/>
        <w:rPr>
          <w:rStyle w:val="Textoennegrita"/>
        </w:rPr>
      </w:pPr>
      <w:r>
        <w:rPr>
          <w:rStyle w:val="Refdenotaalpie"/>
        </w:rPr>
        <w:footnoteRef/>
      </w:r>
      <w:r>
        <w:t xml:space="preserve"> No obstante, tampoco l</w:t>
      </w:r>
      <w:r w:rsidRPr="001440EC">
        <w:t xml:space="preserve">a gravedad de la medida </w:t>
      </w:r>
      <w:r>
        <w:t>sería determinante,</w:t>
      </w:r>
      <w:r w:rsidRPr="001440EC">
        <w:t xml:space="preserve"> ya que muchas medidas no penales de carácter preventivo pueden producir un efecto sustancial sobre la persona afectada</w:t>
      </w:r>
      <w:r>
        <w:t xml:space="preserve">. </w:t>
      </w:r>
      <w:r>
        <w:rPr>
          <w:i/>
        </w:rPr>
        <w:t xml:space="preserve">Vid. </w:t>
      </w:r>
      <w:r w:rsidRPr="00293C3F">
        <w:t>§</w:t>
      </w:r>
      <w:r>
        <w:t>124 a 133</w:t>
      </w:r>
      <w:r w:rsidRPr="00293C3F">
        <w:t xml:space="preserve"> STEDH </w:t>
      </w:r>
      <w:r>
        <w:t>17</w:t>
      </w:r>
      <w:r w:rsidRPr="00191545">
        <w:t xml:space="preserve"> de </w:t>
      </w:r>
      <w:r>
        <w:t>noviembre</w:t>
      </w:r>
      <w:r w:rsidRPr="00191545">
        <w:t xml:space="preserve"> de 200</w:t>
      </w:r>
      <w:r>
        <w:t xml:space="preserve">9 </w:t>
      </w:r>
      <w:r w:rsidRPr="00191545">
        <w:t>(</w:t>
      </w:r>
      <w:r>
        <w:t>M.</w:t>
      </w:r>
      <w:r w:rsidRPr="00191545">
        <w:t xml:space="preserve"> c. </w:t>
      </w:r>
      <w:r>
        <w:t>Alemania</w:t>
      </w:r>
      <w:r w:rsidRPr="00191545">
        <w:t>)</w:t>
      </w:r>
      <w:r w:rsidR="00AE137D">
        <w:t xml:space="preserve"> y</w:t>
      </w:r>
      <w:r>
        <w:t xml:space="preserve"> </w:t>
      </w:r>
      <w:r w:rsidRPr="00293C3F">
        <w:t>§</w:t>
      </w:r>
      <w:r>
        <w:t>119 a 130</w:t>
      </w:r>
      <w:r w:rsidRPr="00293C3F">
        <w:t xml:space="preserve"> </w:t>
      </w:r>
      <w:r w:rsidRPr="00191545">
        <w:t xml:space="preserve">STEDH </w:t>
      </w:r>
      <w:r>
        <w:t>28 de noviembre</w:t>
      </w:r>
      <w:r w:rsidRPr="00191545">
        <w:t xml:space="preserve"> de 2013 (</w:t>
      </w:r>
      <w:r>
        <w:t>Glien</w:t>
      </w:r>
      <w:r w:rsidRPr="00191545">
        <w:t xml:space="preserve"> c. </w:t>
      </w:r>
      <w:r>
        <w:t>Alemania</w:t>
      </w:r>
      <w:r w:rsidRPr="00191545">
        <w:t>)</w:t>
      </w:r>
      <w:r w:rsidR="00990DBF">
        <w:t xml:space="preserve">; </w:t>
      </w:r>
      <w:r w:rsidR="00990DBF">
        <w:rPr>
          <w:i/>
        </w:rPr>
        <w:t>c</w:t>
      </w:r>
      <w:r>
        <w:rPr>
          <w:i/>
        </w:rPr>
        <w:t xml:space="preserve">fr. </w:t>
      </w:r>
      <w:r w:rsidRPr="00947212">
        <w:t xml:space="preserve">§151 a 183 </w:t>
      </w:r>
      <w:r w:rsidRPr="00293C3F">
        <w:t xml:space="preserve">STEDH </w:t>
      </w:r>
      <w:r>
        <w:t>7</w:t>
      </w:r>
      <w:r w:rsidRPr="00191545">
        <w:t xml:space="preserve"> de </w:t>
      </w:r>
      <w:r>
        <w:t>enero</w:t>
      </w:r>
      <w:r w:rsidRPr="00191545">
        <w:t xml:space="preserve"> de 20</w:t>
      </w:r>
      <w:r>
        <w:t xml:space="preserve">16 </w:t>
      </w:r>
      <w:r w:rsidRPr="00947212">
        <w:t>(Bergmann c. Alemania)</w:t>
      </w:r>
      <w:r>
        <w:t>, donde la prisión preventiva se extiende por</w:t>
      </w:r>
      <w:r w:rsidRPr="002C2115">
        <w:t xml:space="preserve"> la necesidad de tratar </w:t>
      </w:r>
      <w:r>
        <w:t>un</w:t>
      </w:r>
      <w:r w:rsidRPr="002C2115">
        <w:t xml:space="preserve"> trastorno mental</w:t>
      </w:r>
      <w:r>
        <w:t xml:space="preserve"> del demandante.</w:t>
      </w:r>
      <w:r w:rsidR="00990DBF">
        <w:t xml:space="preserve"> </w:t>
      </w:r>
      <w:r w:rsidR="00990DBF">
        <w:rPr>
          <w:i/>
        </w:rPr>
        <w:t xml:space="preserve">Vid. </w:t>
      </w:r>
      <w:r w:rsidR="00990DBF">
        <w:t xml:space="preserve">también </w:t>
      </w:r>
      <w:r w:rsidR="00990DBF" w:rsidRPr="00293C3F">
        <w:t>§</w:t>
      </w:r>
      <w:r w:rsidR="00990DBF">
        <w:t>28 a 44</w:t>
      </w:r>
      <w:r w:rsidR="00990DBF" w:rsidRPr="00293C3F">
        <w:t xml:space="preserve"> </w:t>
      </w:r>
      <w:r w:rsidR="00990DBF" w:rsidRPr="00191545">
        <w:t>STEDH</w:t>
      </w:r>
      <w:r w:rsidR="00990DBF">
        <w:t xml:space="preserve"> 15 de diciembre de 2009</w:t>
      </w:r>
      <w:r w:rsidR="00990DBF" w:rsidRPr="00191545">
        <w:t xml:space="preserve"> (</w:t>
      </w:r>
      <w:r w:rsidR="00990DBF" w:rsidRPr="00990DBF">
        <w:t>Gurguchiani</w:t>
      </w:r>
      <w:r w:rsidR="00990DBF">
        <w:rPr>
          <w:sz w:val="23"/>
          <w:szCs w:val="23"/>
        </w:rPr>
        <w:t xml:space="preserve"> </w:t>
      </w:r>
      <w:r w:rsidR="00990DBF" w:rsidRPr="00191545">
        <w:t>c. España)</w:t>
      </w:r>
      <w:r w:rsidR="00990DBF">
        <w:t>, donde el TEDH considera «pena» a efectos del art. 7.1 CEDH la sustitución de la pena de prisión por la expulsión dur</w:t>
      </w:r>
      <w:r w:rsidR="00AE137D">
        <w:t>ante la ejecución de la condena.</w:t>
      </w:r>
    </w:p>
  </w:footnote>
  <w:footnote w:id="25">
    <w:p w:rsidR="00752454" w:rsidRDefault="00752454" w:rsidP="00752454">
      <w:pPr>
        <w:pStyle w:val="Piedepgina"/>
      </w:pPr>
      <w:r>
        <w:rPr>
          <w:rStyle w:val="Refdenotaalpie"/>
        </w:rPr>
        <w:footnoteRef/>
      </w:r>
      <w:r>
        <w:t xml:space="preserve"> LANDA GOROSTIZA, Jon-Mirena, «</w:t>
      </w:r>
      <w:r w:rsidRPr="00594C9E">
        <w:t>Ejecución de penas y prin</w:t>
      </w:r>
      <w:r>
        <w:t>cipio de legalidad ante el TEDH.</w:t>
      </w:r>
      <w:r w:rsidRPr="007422AC">
        <w:t xml:space="preserve"> </w:t>
      </w:r>
      <w:r w:rsidRPr="00594C9E">
        <w:t>A propósito del caso Del Río Prada c. España, STEDH, 3ª, 10.07.2012 (42750/09) y la aplicación de la doctrina Parot</w:t>
      </w:r>
      <w:r>
        <w:t xml:space="preserve">», en </w:t>
      </w:r>
      <w:r w:rsidRPr="007422AC">
        <w:rPr>
          <w:i/>
        </w:rPr>
        <w:t>Indret: Revista para el Análisis del Derecho</w:t>
      </w:r>
      <w:r>
        <w:t>, nº 5, 2012, págs. 6 a 16.</w:t>
      </w:r>
    </w:p>
  </w:footnote>
  <w:footnote w:id="26">
    <w:p w:rsidR="00752454" w:rsidRDefault="00752454" w:rsidP="00752454">
      <w:pPr>
        <w:pStyle w:val="Piedepgina"/>
      </w:pPr>
      <w:r w:rsidRPr="00752454">
        <w:rPr>
          <w:rStyle w:val="Refdenotaalpie"/>
        </w:rPr>
        <w:footnoteRef/>
      </w:r>
      <w:r w:rsidRPr="00752454">
        <w:t xml:space="preserve"> ALC</w:t>
      </w:r>
      <w:r w:rsidRPr="00752454">
        <w:rPr>
          <w:rFonts w:hint="eastAsia"/>
        </w:rPr>
        <w:t>Á</w:t>
      </w:r>
      <w:r w:rsidRPr="00752454">
        <w:t xml:space="preserve">CER GUIRAO, Rafael, </w:t>
      </w:r>
      <w:r w:rsidRPr="00752454">
        <w:rPr>
          <w:rFonts w:hint="eastAsia"/>
        </w:rPr>
        <w:t>«</w:t>
      </w:r>
      <w:r w:rsidRPr="00752454">
        <w:t xml:space="preserve">Tribunal Europeo de Derechos Humanos - La "doctrina Parot" ante Estrasburgo: Del Río Prada c. España (STEDH 10.7.2012, n.o 42750/09). Consideraciones sobre la aplicación retroactiva de la jurisprudencia y la ejecución de las sentencias del TEDH», en </w:t>
      </w:r>
      <w:r w:rsidRPr="00752454">
        <w:rPr>
          <w:i/>
        </w:rPr>
        <w:t>Revista de Derecho Comunitario Europeo</w:t>
      </w:r>
      <w:r w:rsidRPr="00752454">
        <w:t>, nº 43, 2012, págs. 939 ss.</w:t>
      </w:r>
    </w:p>
  </w:footnote>
  <w:footnote w:id="27">
    <w:p w:rsidR="00676049" w:rsidRDefault="00676049" w:rsidP="00676049">
      <w:pPr>
        <w:pStyle w:val="Piedepgina"/>
      </w:pPr>
      <w:r>
        <w:rPr>
          <w:rStyle w:val="Refdenotaalpie"/>
        </w:rPr>
        <w:footnoteRef/>
      </w:r>
      <w:r>
        <w:t xml:space="preserve"> </w:t>
      </w:r>
      <w:r>
        <w:rPr>
          <w:i/>
        </w:rPr>
        <w:t xml:space="preserve">Vid. </w:t>
      </w:r>
      <w:r w:rsidRPr="00293C3F">
        <w:t>§</w:t>
      </w:r>
      <w:r>
        <w:t>51</w:t>
      </w:r>
      <w:r w:rsidRPr="00293C3F">
        <w:t xml:space="preserve"> </w:t>
      </w:r>
      <w:r w:rsidRPr="00191545">
        <w:t xml:space="preserve">STEDH </w:t>
      </w:r>
      <w:r>
        <w:t>10</w:t>
      </w:r>
      <w:r w:rsidRPr="00191545">
        <w:t xml:space="preserve"> de </w:t>
      </w:r>
      <w:r>
        <w:t>julio</w:t>
      </w:r>
      <w:r w:rsidRPr="00191545">
        <w:t xml:space="preserve"> de 20</w:t>
      </w:r>
      <w:r>
        <w:t>03</w:t>
      </w:r>
      <w:r w:rsidRPr="00191545">
        <w:t xml:space="preserve"> (</w:t>
      </w:r>
      <w:r>
        <w:t>Grava</w:t>
      </w:r>
      <w:r w:rsidRPr="00191545">
        <w:t xml:space="preserve"> c. </w:t>
      </w:r>
      <w:r>
        <w:t>Italia</w:t>
      </w:r>
      <w:r w:rsidRPr="00191545">
        <w:t>)</w:t>
      </w:r>
      <w:r>
        <w:t xml:space="preserve">; </w:t>
      </w:r>
      <w:r w:rsidRPr="00293C3F">
        <w:t>§</w:t>
      </w:r>
      <w:r>
        <w:t>142</w:t>
      </w:r>
      <w:r w:rsidRPr="00293C3F">
        <w:t xml:space="preserve"> </w:t>
      </w:r>
      <w:r w:rsidRPr="00191545">
        <w:t>STEDH 12 de febrero de 2008 (Kafkaris c. Chipre)</w:t>
      </w:r>
      <w:r>
        <w:t xml:space="preserve">; </w:t>
      </w:r>
      <w:r w:rsidRPr="00293C3F">
        <w:t>§</w:t>
      </w:r>
      <w:r w:rsidRPr="00676049">
        <w:t>83</w:t>
      </w:r>
      <w:r w:rsidRPr="00293C3F">
        <w:t xml:space="preserve"> </w:t>
      </w:r>
      <w:r w:rsidRPr="00191545">
        <w:t>STEDH 21 de octubre de 2013 (Del Río Prada c. España)</w:t>
      </w:r>
      <w:r>
        <w:t>.</w:t>
      </w:r>
    </w:p>
  </w:footnote>
  <w:footnote w:id="28">
    <w:p w:rsidR="008F2F6C" w:rsidRDefault="008F2F6C" w:rsidP="008F2F6C">
      <w:pPr>
        <w:pStyle w:val="Piedepgina"/>
      </w:pPr>
      <w:r>
        <w:rPr>
          <w:rStyle w:val="Refdenotaalpie"/>
        </w:rPr>
        <w:footnoteRef/>
      </w:r>
      <w:r>
        <w:t xml:space="preserve"> De acuerdo con el </w:t>
      </w:r>
      <w:r w:rsidR="003F5F0D">
        <w:t>TC</w:t>
      </w:r>
      <w:r>
        <w:t xml:space="preserve">, la seguridad jurídica </w:t>
      </w:r>
      <w:r w:rsidRPr="008F2F6C">
        <w:rPr>
          <w:i/>
        </w:rPr>
        <w:t>«…es suma de certeza y legalidad, jerarquía y publicidad normativa, irretroactividad de lo no favorable, interdicción de la arbitrariedad, pero que, si se agotara en la adición de estos principios, no hubiera precisado de ser formulada expresamente. La seguridad jurídica es la suma de estos principios, equilibrada de tal suerte que permita promover, en el orden jurídico, la justicia y la igualdad, en libertad»</w:t>
      </w:r>
      <w:r>
        <w:t>. STC 27/1981 (FJ. 10)</w:t>
      </w:r>
      <w:r w:rsidR="009D2D7F">
        <w:t>.</w:t>
      </w:r>
    </w:p>
  </w:footnote>
  <w:footnote w:id="29">
    <w:p w:rsidR="00050D60" w:rsidRDefault="00050D60" w:rsidP="00050D60">
      <w:pPr>
        <w:pStyle w:val="Piedepgina"/>
      </w:pPr>
      <w:r>
        <w:rPr>
          <w:rStyle w:val="Refdenotaalpie"/>
        </w:rPr>
        <w:footnoteRef/>
      </w:r>
      <w:r>
        <w:t xml:space="preserve"> </w:t>
      </w:r>
      <w:r w:rsidRPr="00050D60">
        <w:rPr>
          <w:i/>
        </w:rPr>
        <w:t>Vid</w:t>
      </w:r>
      <w:r>
        <w:t>. S</w:t>
      </w:r>
      <w:r w:rsidRPr="00862363">
        <w:rPr>
          <w:color w:val="000000"/>
          <w:szCs w:val="20"/>
        </w:rPr>
        <w:t>TC</w:t>
      </w:r>
      <w:r w:rsidRPr="00ED5C29">
        <w:rPr>
          <w:color w:val="000000"/>
          <w:szCs w:val="20"/>
        </w:rPr>
        <w:t xml:space="preserve"> </w:t>
      </w:r>
      <w:r>
        <w:rPr>
          <w:color w:val="000000"/>
          <w:szCs w:val="20"/>
        </w:rPr>
        <w:t>117</w:t>
      </w:r>
      <w:r w:rsidRPr="00ED5C29">
        <w:rPr>
          <w:color w:val="000000"/>
          <w:szCs w:val="20"/>
        </w:rPr>
        <w:t>/</w:t>
      </w:r>
      <w:r>
        <w:rPr>
          <w:color w:val="000000"/>
          <w:szCs w:val="20"/>
        </w:rPr>
        <w:t>2004 (FJ. 5)</w:t>
      </w:r>
      <w:r w:rsidR="009D2D7F">
        <w:rPr>
          <w:color w:val="000000"/>
          <w:szCs w:val="20"/>
        </w:rPr>
        <w:t>.</w:t>
      </w:r>
    </w:p>
  </w:footnote>
  <w:footnote w:id="30">
    <w:p w:rsidR="002F7B81" w:rsidRDefault="002F7B81" w:rsidP="002F7B81">
      <w:pPr>
        <w:pStyle w:val="Piedepgina"/>
      </w:pPr>
      <w:r>
        <w:rPr>
          <w:rStyle w:val="Refdenotaalpie"/>
        </w:rPr>
        <w:footnoteRef/>
      </w:r>
      <w:r>
        <w:t xml:space="preserve"> </w:t>
      </w:r>
      <w:r w:rsidR="003F5F0D" w:rsidRPr="00FE085E">
        <w:rPr>
          <w:i/>
        </w:rPr>
        <w:t>Vid</w:t>
      </w:r>
      <w:r w:rsidR="003F5F0D">
        <w:t xml:space="preserve">. SSTS </w:t>
      </w:r>
      <w:smartTag w:uri="urn:schemas-microsoft-com:office:smarttags" w:element="date">
        <w:smartTagPr>
          <w:attr w:name="Year" w:val="2011"/>
          <w:attr w:name="Day" w:val="28"/>
          <w:attr w:name="Month" w:val="3"/>
          <w:attr w:name="ls" w:val="trans"/>
        </w:smartTagPr>
        <w:r w:rsidR="003F5F0D">
          <w:t>28 de marzo de 2011</w:t>
        </w:r>
      </w:smartTag>
      <w:r w:rsidR="003F5F0D">
        <w:t xml:space="preserve"> (FJ. 2), </w:t>
      </w:r>
      <w:smartTag w:uri="urn:schemas-microsoft-com:office:smarttags" w:element="date">
        <w:smartTagPr>
          <w:attr w:name="Year" w:val="2011"/>
          <w:attr w:name="Day" w:val="21"/>
          <w:attr w:name="Month" w:val="10"/>
          <w:attr w:name="ls" w:val="trans"/>
        </w:smartTagPr>
        <w:r w:rsidR="003F5F0D">
          <w:t>21 de octubre de 2011</w:t>
        </w:r>
      </w:smartTag>
      <w:r w:rsidR="003F5F0D">
        <w:t xml:space="preserve"> (FJ. 3), </w:t>
      </w:r>
      <w:smartTag w:uri="urn:schemas-microsoft-com:office:smarttags" w:element="date">
        <w:smartTagPr>
          <w:attr w:name="Year" w:val="2012"/>
          <w:attr w:name="Day" w:val="4"/>
          <w:attr w:name="Month" w:val="5"/>
          <w:attr w:name="ls" w:val="trans"/>
        </w:smartTagPr>
        <w:r w:rsidR="003F5F0D">
          <w:t>4 de mayo de 2012</w:t>
        </w:r>
      </w:smartTag>
      <w:r w:rsidR="003F5F0D">
        <w:t xml:space="preserve"> (FJ. 3), </w:t>
      </w:r>
      <w:smartTag w:uri="urn:schemas-microsoft-com:office:smarttags" w:element="date">
        <w:smartTagPr>
          <w:attr w:name="Year" w:val="2012"/>
          <w:attr w:name="Day" w:val="28"/>
          <w:attr w:name="Month" w:val="5"/>
          <w:attr w:name="ls" w:val="trans"/>
        </w:smartTagPr>
        <w:r w:rsidR="003F5F0D">
          <w:t>28 de mayo de 2012</w:t>
        </w:r>
      </w:smartTag>
      <w:r w:rsidR="003F5F0D">
        <w:t xml:space="preserve"> (FJ. 3) </w:t>
      </w:r>
      <w:smartTag w:uri="urn:schemas-microsoft-com:office:smarttags" w:element="date">
        <w:smartTagPr>
          <w:attr w:name="Year" w:val="2012"/>
          <w:attr w:name="Day" w:val="10"/>
          <w:attr w:name="Month" w:val="7"/>
          <w:attr w:name="ls" w:val="trans"/>
        </w:smartTagPr>
        <w:r w:rsidR="003F5F0D">
          <w:t>10 de julio de 2012</w:t>
        </w:r>
      </w:smartTag>
      <w:r w:rsidR="003F5F0D">
        <w:t xml:space="preserve"> (FJ. 6), entre otras.</w:t>
      </w:r>
    </w:p>
  </w:footnote>
  <w:footnote w:id="31">
    <w:p w:rsidR="003F5F0D" w:rsidRPr="003F5F0D" w:rsidRDefault="003F5F0D" w:rsidP="003F5F0D">
      <w:pPr>
        <w:pStyle w:val="Piedepgina"/>
      </w:pPr>
      <w:r>
        <w:rPr>
          <w:rStyle w:val="Refdenotaalpie"/>
        </w:rPr>
        <w:footnoteRef/>
      </w:r>
      <w:r>
        <w:t xml:space="preserve"> </w:t>
      </w:r>
      <w:r w:rsidRPr="003F5F0D">
        <w:rPr>
          <w:i/>
        </w:rPr>
        <w:t>Vid</w:t>
      </w:r>
      <w:r>
        <w:t>. STS 5 de octubre de 2015 (FJ. 2): «</w:t>
      </w:r>
      <w:r w:rsidRPr="003F5F0D">
        <w:rPr>
          <w:i/>
        </w:rPr>
        <w:t>El máximo no es una nueva pena diferente de las anteriores. Son las mismas enlazadas y sucesivamente cumplidas con un total de estancia en prisión (o, en libertad condicional, que también es cumplimiento)»</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8C6" w:rsidRDefault="007C18C6" w:rsidP="005F4ED0">
    <w:pPr>
      <w:pStyle w:val="Encabezado"/>
      <w:tabs>
        <w:tab w:val="clear" w:pos="4252"/>
        <w:tab w:val="clear" w:pos="8504"/>
        <w:tab w:val="left" w:pos="2343"/>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7D0185C"/>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2639B3"/>
    <w:multiLevelType w:val="hybridMultilevel"/>
    <w:tmpl w:val="A4F02B18"/>
    <w:lvl w:ilvl="0" w:tplc="9B90571C">
      <w:start w:val="1"/>
      <w:numFmt w:val="upperLetter"/>
      <w:lvlText w:val="%1."/>
      <w:lvlJc w:val="left"/>
      <w:pPr>
        <w:ind w:left="1440" w:hanging="360"/>
      </w:pPr>
      <w:rPr>
        <w:rFonts w:cs="Times New Roman" w:hint="default"/>
      </w:rPr>
    </w:lvl>
    <w:lvl w:ilvl="1" w:tplc="0C0A0019" w:tentative="1">
      <w:start w:val="1"/>
      <w:numFmt w:val="lowerLetter"/>
      <w:lvlText w:val="%2."/>
      <w:lvlJc w:val="left"/>
      <w:pPr>
        <w:ind w:left="-2303" w:hanging="360"/>
      </w:pPr>
      <w:rPr>
        <w:rFonts w:cs="Times New Roman"/>
      </w:rPr>
    </w:lvl>
    <w:lvl w:ilvl="2" w:tplc="0C0A001B" w:tentative="1">
      <w:start w:val="1"/>
      <w:numFmt w:val="lowerRoman"/>
      <w:lvlText w:val="%3."/>
      <w:lvlJc w:val="right"/>
      <w:pPr>
        <w:ind w:left="-1583" w:hanging="180"/>
      </w:pPr>
      <w:rPr>
        <w:rFonts w:cs="Times New Roman"/>
      </w:rPr>
    </w:lvl>
    <w:lvl w:ilvl="3" w:tplc="0C0A000F" w:tentative="1">
      <w:start w:val="1"/>
      <w:numFmt w:val="decimal"/>
      <w:lvlText w:val="%4."/>
      <w:lvlJc w:val="left"/>
      <w:pPr>
        <w:ind w:left="-863" w:hanging="360"/>
      </w:pPr>
      <w:rPr>
        <w:rFonts w:cs="Times New Roman"/>
      </w:rPr>
    </w:lvl>
    <w:lvl w:ilvl="4" w:tplc="0C0A0019" w:tentative="1">
      <w:start w:val="1"/>
      <w:numFmt w:val="lowerLetter"/>
      <w:lvlText w:val="%5."/>
      <w:lvlJc w:val="left"/>
      <w:pPr>
        <w:ind w:left="-143" w:hanging="360"/>
      </w:pPr>
      <w:rPr>
        <w:rFonts w:cs="Times New Roman"/>
      </w:rPr>
    </w:lvl>
    <w:lvl w:ilvl="5" w:tplc="0C0A001B" w:tentative="1">
      <w:start w:val="1"/>
      <w:numFmt w:val="lowerRoman"/>
      <w:lvlText w:val="%6."/>
      <w:lvlJc w:val="right"/>
      <w:pPr>
        <w:ind w:left="577" w:hanging="180"/>
      </w:pPr>
      <w:rPr>
        <w:rFonts w:cs="Times New Roman"/>
      </w:rPr>
    </w:lvl>
    <w:lvl w:ilvl="6" w:tplc="0C0A000F" w:tentative="1">
      <w:start w:val="1"/>
      <w:numFmt w:val="decimal"/>
      <w:lvlText w:val="%7."/>
      <w:lvlJc w:val="left"/>
      <w:pPr>
        <w:ind w:left="1297" w:hanging="360"/>
      </w:pPr>
      <w:rPr>
        <w:rFonts w:cs="Times New Roman"/>
      </w:rPr>
    </w:lvl>
    <w:lvl w:ilvl="7" w:tplc="0C0A0019" w:tentative="1">
      <w:start w:val="1"/>
      <w:numFmt w:val="lowerLetter"/>
      <w:lvlText w:val="%8."/>
      <w:lvlJc w:val="left"/>
      <w:pPr>
        <w:ind w:left="2017" w:hanging="360"/>
      </w:pPr>
      <w:rPr>
        <w:rFonts w:cs="Times New Roman"/>
      </w:rPr>
    </w:lvl>
    <w:lvl w:ilvl="8" w:tplc="0C0A001B" w:tentative="1">
      <w:start w:val="1"/>
      <w:numFmt w:val="lowerRoman"/>
      <w:lvlText w:val="%9."/>
      <w:lvlJc w:val="right"/>
      <w:pPr>
        <w:ind w:left="2737" w:hanging="180"/>
      </w:pPr>
      <w:rPr>
        <w:rFonts w:cs="Times New Roman"/>
      </w:rPr>
    </w:lvl>
  </w:abstractNum>
  <w:abstractNum w:abstractNumId="2">
    <w:nsid w:val="0FCA6431"/>
    <w:multiLevelType w:val="multilevel"/>
    <w:tmpl w:val="068C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8D162B"/>
    <w:multiLevelType w:val="multilevel"/>
    <w:tmpl w:val="460A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234C2D"/>
    <w:multiLevelType w:val="multilevel"/>
    <w:tmpl w:val="1F60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BB5DD7"/>
    <w:multiLevelType w:val="hybridMultilevel"/>
    <w:tmpl w:val="A8BA8C18"/>
    <w:lvl w:ilvl="0" w:tplc="2DF0A9FE">
      <w:numFmt w:val="bullet"/>
      <w:lvlText w:val="—"/>
      <w:lvlJc w:val="left"/>
      <w:pPr>
        <w:ind w:left="1400" w:hanging="360"/>
      </w:pPr>
      <w:rPr>
        <w:rFonts w:ascii="Times New Roman" w:eastAsia="Calibri" w:hAnsi="Times New Roman" w:cs="Times New Roman" w:hint="default"/>
      </w:rPr>
    </w:lvl>
    <w:lvl w:ilvl="1" w:tplc="0C0A0003" w:tentative="1">
      <w:start w:val="1"/>
      <w:numFmt w:val="bullet"/>
      <w:lvlText w:val="o"/>
      <w:lvlJc w:val="left"/>
      <w:pPr>
        <w:ind w:left="2120" w:hanging="360"/>
      </w:pPr>
      <w:rPr>
        <w:rFonts w:ascii="Courier New" w:hAnsi="Courier New" w:cs="Courier New" w:hint="default"/>
      </w:rPr>
    </w:lvl>
    <w:lvl w:ilvl="2" w:tplc="0C0A0005" w:tentative="1">
      <w:start w:val="1"/>
      <w:numFmt w:val="bullet"/>
      <w:lvlText w:val=""/>
      <w:lvlJc w:val="left"/>
      <w:pPr>
        <w:ind w:left="2840" w:hanging="360"/>
      </w:pPr>
      <w:rPr>
        <w:rFonts w:ascii="Wingdings" w:hAnsi="Wingdings" w:hint="default"/>
      </w:rPr>
    </w:lvl>
    <w:lvl w:ilvl="3" w:tplc="0C0A0001" w:tentative="1">
      <w:start w:val="1"/>
      <w:numFmt w:val="bullet"/>
      <w:lvlText w:val=""/>
      <w:lvlJc w:val="left"/>
      <w:pPr>
        <w:ind w:left="3560" w:hanging="360"/>
      </w:pPr>
      <w:rPr>
        <w:rFonts w:ascii="Symbol" w:hAnsi="Symbol" w:hint="default"/>
      </w:rPr>
    </w:lvl>
    <w:lvl w:ilvl="4" w:tplc="0C0A0003" w:tentative="1">
      <w:start w:val="1"/>
      <w:numFmt w:val="bullet"/>
      <w:lvlText w:val="o"/>
      <w:lvlJc w:val="left"/>
      <w:pPr>
        <w:ind w:left="4280" w:hanging="360"/>
      </w:pPr>
      <w:rPr>
        <w:rFonts w:ascii="Courier New" w:hAnsi="Courier New" w:cs="Courier New" w:hint="default"/>
      </w:rPr>
    </w:lvl>
    <w:lvl w:ilvl="5" w:tplc="0C0A0005" w:tentative="1">
      <w:start w:val="1"/>
      <w:numFmt w:val="bullet"/>
      <w:lvlText w:val=""/>
      <w:lvlJc w:val="left"/>
      <w:pPr>
        <w:ind w:left="5000" w:hanging="360"/>
      </w:pPr>
      <w:rPr>
        <w:rFonts w:ascii="Wingdings" w:hAnsi="Wingdings" w:hint="default"/>
      </w:rPr>
    </w:lvl>
    <w:lvl w:ilvl="6" w:tplc="0C0A0001" w:tentative="1">
      <w:start w:val="1"/>
      <w:numFmt w:val="bullet"/>
      <w:lvlText w:val=""/>
      <w:lvlJc w:val="left"/>
      <w:pPr>
        <w:ind w:left="5720" w:hanging="360"/>
      </w:pPr>
      <w:rPr>
        <w:rFonts w:ascii="Symbol" w:hAnsi="Symbol" w:hint="default"/>
      </w:rPr>
    </w:lvl>
    <w:lvl w:ilvl="7" w:tplc="0C0A0003" w:tentative="1">
      <w:start w:val="1"/>
      <w:numFmt w:val="bullet"/>
      <w:lvlText w:val="o"/>
      <w:lvlJc w:val="left"/>
      <w:pPr>
        <w:ind w:left="6440" w:hanging="360"/>
      </w:pPr>
      <w:rPr>
        <w:rFonts w:ascii="Courier New" w:hAnsi="Courier New" w:cs="Courier New" w:hint="default"/>
      </w:rPr>
    </w:lvl>
    <w:lvl w:ilvl="8" w:tplc="0C0A0005" w:tentative="1">
      <w:start w:val="1"/>
      <w:numFmt w:val="bullet"/>
      <w:lvlText w:val=""/>
      <w:lvlJc w:val="left"/>
      <w:pPr>
        <w:ind w:left="7160" w:hanging="360"/>
      </w:pPr>
      <w:rPr>
        <w:rFonts w:ascii="Wingdings" w:hAnsi="Wingdings" w:hint="default"/>
      </w:rPr>
    </w:lvl>
  </w:abstractNum>
  <w:abstractNum w:abstractNumId="6">
    <w:nsid w:val="45D23A2E"/>
    <w:multiLevelType w:val="hybridMultilevel"/>
    <w:tmpl w:val="49662208"/>
    <w:lvl w:ilvl="0" w:tplc="0D166A7C">
      <w:start w:val="1"/>
      <w:numFmt w:val="decimal"/>
      <w:lvlText w:val="%1.-"/>
      <w:lvlJc w:val="left"/>
      <w:pPr>
        <w:ind w:left="8015" w:hanging="360"/>
      </w:pPr>
      <w:rPr>
        <w:rFonts w:cs="Times New Roman" w:hint="default"/>
      </w:rPr>
    </w:lvl>
    <w:lvl w:ilvl="1" w:tplc="0C0A0019" w:tentative="1">
      <w:start w:val="1"/>
      <w:numFmt w:val="lowerLetter"/>
      <w:lvlText w:val="%2."/>
      <w:lvlJc w:val="left"/>
      <w:pPr>
        <w:ind w:left="4272" w:hanging="360"/>
      </w:pPr>
      <w:rPr>
        <w:rFonts w:cs="Times New Roman"/>
      </w:rPr>
    </w:lvl>
    <w:lvl w:ilvl="2" w:tplc="0C0A001B" w:tentative="1">
      <w:start w:val="1"/>
      <w:numFmt w:val="lowerRoman"/>
      <w:lvlText w:val="%3."/>
      <w:lvlJc w:val="right"/>
      <w:pPr>
        <w:ind w:left="4992" w:hanging="180"/>
      </w:pPr>
      <w:rPr>
        <w:rFonts w:cs="Times New Roman"/>
      </w:rPr>
    </w:lvl>
    <w:lvl w:ilvl="3" w:tplc="0C0A000F" w:tentative="1">
      <w:start w:val="1"/>
      <w:numFmt w:val="decimal"/>
      <w:lvlText w:val="%4."/>
      <w:lvlJc w:val="left"/>
      <w:pPr>
        <w:ind w:left="5712" w:hanging="360"/>
      </w:pPr>
      <w:rPr>
        <w:rFonts w:cs="Times New Roman"/>
      </w:rPr>
    </w:lvl>
    <w:lvl w:ilvl="4" w:tplc="0C0A0019" w:tentative="1">
      <w:start w:val="1"/>
      <w:numFmt w:val="lowerLetter"/>
      <w:lvlText w:val="%5."/>
      <w:lvlJc w:val="left"/>
      <w:pPr>
        <w:ind w:left="6432" w:hanging="360"/>
      </w:pPr>
      <w:rPr>
        <w:rFonts w:cs="Times New Roman"/>
      </w:rPr>
    </w:lvl>
    <w:lvl w:ilvl="5" w:tplc="0C0A001B" w:tentative="1">
      <w:start w:val="1"/>
      <w:numFmt w:val="lowerRoman"/>
      <w:lvlText w:val="%6."/>
      <w:lvlJc w:val="right"/>
      <w:pPr>
        <w:ind w:left="7152" w:hanging="180"/>
      </w:pPr>
      <w:rPr>
        <w:rFonts w:cs="Times New Roman"/>
      </w:rPr>
    </w:lvl>
    <w:lvl w:ilvl="6" w:tplc="0C0A000F" w:tentative="1">
      <w:start w:val="1"/>
      <w:numFmt w:val="decimal"/>
      <w:lvlText w:val="%7."/>
      <w:lvlJc w:val="left"/>
      <w:pPr>
        <w:ind w:left="7872" w:hanging="360"/>
      </w:pPr>
      <w:rPr>
        <w:rFonts w:cs="Times New Roman"/>
      </w:rPr>
    </w:lvl>
    <w:lvl w:ilvl="7" w:tplc="0C0A0019" w:tentative="1">
      <w:start w:val="1"/>
      <w:numFmt w:val="lowerLetter"/>
      <w:lvlText w:val="%8."/>
      <w:lvlJc w:val="left"/>
      <w:pPr>
        <w:ind w:left="8592" w:hanging="360"/>
      </w:pPr>
      <w:rPr>
        <w:rFonts w:cs="Times New Roman"/>
      </w:rPr>
    </w:lvl>
    <w:lvl w:ilvl="8" w:tplc="0C0A001B" w:tentative="1">
      <w:start w:val="1"/>
      <w:numFmt w:val="lowerRoman"/>
      <w:lvlText w:val="%9."/>
      <w:lvlJc w:val="right"/>
      <w:pPr>
        <w:ind w:left="9312" w:hanging="180"/>
      </w:pPr>
      <w:rPr>
        <w:rFonts w:cs="Times New Roman"/>
      </w:rPr>
    </w:lvl>
  </w:abstractNum>
  <w:abstractNum w:abstractNumId="7">
    <w:nsid w:val="475E2D65"/>
    <w:multiLevelType w:val="hybridMultilevel"/>
    <w:tmpl w:val="CF3841CA"/>
    <w:lvl w:ilvl="0" w:tplc="354066B8">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nsid w:val="493F2951"/>
    <w:multiLevelType w:val="hybridMultilevel"/>
    <w:tmpl w:val="6400EBBA"/>
    <w:lvl w:ilvl="0" w:tplc="74C2D7A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534F437E"/>
    <w:multiLevelType w:val="multilevel"/>
    <w:tmpl w:val="E7B4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A22998"/>
    <w:multiLevelType w:val="multilevel"/>
    <w:tmpl w:val="EAEC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FA770F"/>
    <w:multiLevelType w:val="hybridMultilevel"/>
    <w:tmpl w:val="95A8D272"/>
    <w:lvl w:ilvl="0" w:tplc="0C0A000F">
      <w:start w:val="1"/>
      <w:numFmt w:val="decimal"/>
      <w:lvlText w:val="%1."/>
      <w:lvlJc w:val="left"/>
      <w:pPr>
        <w:ind w:left="1040" w:hanging="360"/>
      </w:pPr>
    </w:lvl>
    <w:lvl w:ilvl="1" w:tplc="0C0A0019" w:tentative="1">
      <w:start w:val="1"/>
      <w:numFmt w:val="lowerLetter"/>
      <w:lvlText w:val="%2."/>
      <w:lvlJc w:val="left"/>
      <w:pPr>
        <w:ind w:left="1760" w:hanging="360"/>
      </w:pPr>
    </w:lvl>
    <w:lvl w:ilvl="2" w:tplc="0C0A001B" w:tentative="1">
      <w:start w:val="1"/>
      <w:numFmt w:val="lowerRoman"/>
      <w:lvlText w:val="%3."/>
      <w:lvlJc w:val="right"/>
      <w:pPr>
        <w:ind w:left="2480" w:hanging="180"/>
      </w:pPr>
    </w:lvl>
    <w:lvl w:ilvl="3" w:tplc="0C0A000F" w:tentative="1">
      <w:start w:val="1"/>
      <w:numFmt w:val="decimal"/>
      <w:lvlText w:val="%4."/>
      <w:lvlJc w:val="left"/>
      <w:pPr>
        <w:ind w:left="3200" w:hanging="360"/>
      </w:pPr>
    </w:lvl>
    <w:lvl w:ilvl="4" w:tplc="0C0A0019" w:tentative="1">
      <w:start w:val="1"/>
      <w:numFmt w:val="lowerLetter"/>
      <w:lvlText w:val="%5."/>
      <w:lvlJc w:val="left"/>
      <w:pPr>
        <w:ind w:left="3920" w:hanging="360"/>
      </w:pPr>
    </w:lvl>
    <w:lvl w:ilvl="5" w:tplc="0C0A001B" w:tentative="1">
      <w:start w:val="1"/>
      <w:numFmt w:val="lowerRoman"/>
      <w:lvlText w:val="%6."/>
      <w:lvlJc w:val="right"/>
      <w:pPr>
        <w:ind w:left="4640" w:hanging="180"/>
      </w:pPr>
    </w:lvl>
    <w:lvl w:ilvl="6" w:tplc="0C0A000F" w:tentative="1">
      <w:start w:val="1"/>
      <w:numFmt w:val="decimal"/>
      <w:lvlText w:val="%7."/>
      <w:lvlJc w:val="left"/>
      <w:pPr>
        <w:ind w:left="5360" w:hanging="360"/>
      </w:pPr>
    </w:lvl>
    <w:lvl w:ilvl="7" w:tplc="0C0A0019" w:tentative="1">
      <w:start w:val="1"/>
      <w:numFmt w:val="lowerLetter"/>
      <w:lvlText w:val="%8."/>
      <w:lvlJc w:val="left"/>
      <w:pPr>
        <w:ind w:left="6080" w:hanging="360"/>
      </w:pPr>
    </w:lvl>
    <w:lvl w:ilvl="8" w:tplc="0C0A001B" w:tentative="1">
      <w:start w:val="1"/>
      <w:numFmt w:val="lowerRoman"/>
      <w:lvlText w:val="%9."/>
      <w:lvlJc w:val="right"/>
      <w:pPr>
        <w:ind w:left="6800" w:hanging="180"/>
      </w:pPr>
    </w:lvl>
  </w:abstractNum>
  <w:abstractNum w:abstractNumId="12">
    <w:nsid w:val="5BE9373B"/>
    <w:multiLevelType w:val="hybridMultilevel"/>
    <w:tmpl w:val="36FE15B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5E924252"/>
    <w:multiLevelType w:val="hybridMultilevel"/>
    <w:tmpl w:val="23583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24B15BE"/>
    <w:multiLevelType w:val="multilevel"/>
    <w:tmpl w:val="BAB2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F16DE9"/>
    <w:multiLevelType w:val="hybridMultilevel"/>
    <w:tmpl w:val="80440FD8"/>
    <w:lvl w:ilvl="0" w:tplc="74C2D7A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6D6B67AD"/>
    <w:multiLevelType w:val="multilevel"/>
    <w:tmpl w:val="51D4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FD5EE1"/>
    <w:multiLevelType w:val="hybridMultilevel"/>
    <w:tmpl w:val="50261AD6"/>
    <w:lvl w:ilvl="0" w:tplc="74C2D7A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72916A30"/>
    <w:multiLevelType w:val="hybridMultilevel"/>
    <w:tmpl w:val="C6D68596"/>
    <w:lvl w:ilvl="0" w:tplc="74EC10C4">
      <w:start w:val="1"/>
      <w:numFmt w:val="decimal"/>
      <w:lvlText w:val="%1."/>
      <w:lvlJc w:val="left"/>
      <w:pPr>
        <w:ind w:left="1080" w:hanging="360"/>
      </w:pPr>
    </w:lvl>
    <w:lvl w:ilvl="1" w:tplc="0C0A0003">
      <w:start w:val="1"/>
      <w:numFmt w:val="lowerLetter"/>
      <w:lvlText w:val="%2."/>
      <w:lvlJc w:val="left"/>
      <w:pPr>
        <w:ind w:left="1800" w:hanging="360"/>
      </w:pPr>
    </w:lvl>
    <w:lvl w:ilvl="2" w:tplc="0C0A0005">
      <w:start w:val="1"/>
      <w:numFmt w:val="lowerRoman"/>
      <w:lvlText w:val="%3."/>
      <w:lvlJc w:val="right"/>
      <w:pPr>
        <w:ind w:left="2520" w:hanging="180"/>
      </w:pPr>
    </w:lvl>
    <w:lvl w:ilvl="3" w:tplc="0C0A0001">
      <w:start w:val="1"/>
      <w:numFmt w:val="decimal"/>
      <w:lvlText w:val="%4."/>
      <w:lvlJc w:val="left"/>
      <w:pPr>
        <w:ind w:left="3240" w:hanging="360"/>
      </w:pPr>
    </w:lvl>
    <w:lvl w:ilvl="4" w:tplc="0C0A0003">
      <w:start w:val="1"/>
      <w:numFmt w:val="lowerLetter"/>
      <w:lvlText w:val="%5."/>
      <w:lvlJc w:val="left"/>
      <w:pPr>
        <w:ind w:left="3960" w:hanging="360"/>
      </w:pPr>
    </w:lvl>
    <w:lvl w:ilvl="5" w:tplc="0C0A0005">
      <w:start w:val="1"/>
      <w:numFmt w:val="lowerRoman"/>
      <w:lvlText w:val="%6."/>
      <w:lvlJc w:val="right"/>
      <w:pPr>
        <w:ind w:left="4680" w:hanging="180"/>
      </w:pPr>
    </w:lvl>
    <w:lvl w:ilvl="6" w:tplc="0C0A0001">
      <w:start w:val="1"/>
      <w:numFmt w:val="decimal"/>
      <w:lvlText w:val="%7."/>
      <w:lvlJc w:val="left"/>
      <w:pPr>
        <w:ind w:left="5400" w:hanging="360"/>
      </w:pPr>
    </w:lvl>
    <w:lvl w:ilvl="7" w:tplc="0C0A0003">
      <w:start w:val="1"/>
      <w:numFmt w:val="lowerLetter"/>
      <w:lvlText w:val="%8."/>
      <w:lvlJc w:val="left"/>
      <w:pPr>
        <w:ind w:left="6120" w:hanging="360"/>
      </w:pPr>
    </w:lvl>
    <w:lvl w:ilvl="8" w:tplc="0C0A0005">
      <w:start w:val="1"/>
      <w:numFmt w:val="lowerRoman"/>
      <w:lvlText w:val="%9."/>
      <w:lvlJc w:val="right"/>
      <w:pPr>
        <w:ind w:left="6840" w:hanging="180"/>
      </w:pPr>
    </w:lvl>
  </w:abstractNum>
  <w:abstractNum w:abstractNumId="19">
    <w:nsid w:val="7BE27156"/>
    <w:multiLevelType w:val="hybridMultilevel"/>
    <w:tmpl w:val="7B6433C2"/>
    <w:lvl w:ilvl="0" w:tplc="0C0A0001">
      <w:start w:val="1"/>
      <w:numFmt w:val="bullet"/>
      <w:lvlText w:val=""/>
      <w:lvlJc w:val="left"/>
      <w:pPr>
        <w:ind w:left="1400" w:hanging="360"/>
      </w:pPr>
      <w:rPr>
        <w:rFonts w:ascii="Symbol" w:hAnsi="Symbol" w:hint="default"/>
      </w:rPr>
    </w:lvl>
    <w:lvl w:ilvl="1" w:tplc="0C0A0003" w:tentative="1">
      <w:start w:val="1"/>
      <w:numFmt w:val="bullet"/>
      <w:lvlText w:val="o"/>
      <w:lvlJc w:val="left"/>
      <w:pPr>
        <w:ind w:left="2120" w:hanging="360"/>
      </w:pPr>
      <w:rPr>
        <w:rFonts w:ascii="Courier New" w:hAnsi="Courier New" w:cs="Courier New" w:hint="default"/>
      </w:rPr>
    </w:lvl>
    <w:lvl w:ilvl="2" w:tplc="0C0A0005" w:tentative="1">
      <w:start w:val="1"/>
      <w:numFmt w:val="bullet"/>
      <w:lvlText w:val=""/>
      <w:lvlJc w:val="left"/>
      <w:pPr>
        <w:ind w:left="2840" w:hanging="360"/>
      </w:pPr>
      <w:rPr>
        <w:rFonts w:ascii="Wingdings" w:hAnsi="Wingdings" w:hint="default"/>
      </w:rPr>
    </w:lvl>
    <w:lvl w:ilvl="3" w:tplc="0C0A0001" w:tentative="1">
      <w:start w:val="1"/>
      <w:numFmt w:val="bullet"/>
      <w:lvlText w:val=""/>
      <w:lvlJc w:val="left"/>
      <w:pPr>
        <w:ind w:left="3560" w:hanging="360"/>
      </w:pPr>
      <w:rPr>
        <w:rFonts w:ascii="Symbol" w:hAnsi="Symbol" w:hint="default"/>
      </w:rPr>
    </w:lvl>
    <w:lvl w:ilvl="4" w:tplc="0C0A0003" w:tentative="1">
      <w:start w:val="1"/>
      <w:numFmt w:val="bullet"/>
      <w:lvlText w:val="o"/>
      <w:lvlJc w:val="left"/>
      <w:pPr>
        <w:ind w:left="4280" w:hanging="360"/>
      </w:pPr>
      <w:rPr>
        <w:rFonts w:ascii="Courier New" w:hAnsi="Courier New" w:cs="Courier New" w:hint="default"/>
      </w:rPr>
    </w:lvl>
    <w:lvl w:ilvl="5" w:tplc="0C0A0005" w:tentative="1">
      <w:start w:val="1"/>
      <w:numFmt w:val="bullet"/>
      <w:lvlText w:val=""/>
      <w:lvlJc w:val="left"/>
      <w:pPr>
        <w:ind w:left="5000" w:hanging="360"/>
      </w:pPr>
      <w:rPr>
        <w:rFonts w:ascii="Wingdings" w:hAnsi="Wingdings" w:hint="default"/>
      </w:rPr>
    </w:lvl>
    <w:lvl w:ilvl="6" w:tplc="0C0A0001" w:tentative="1">
      <w:start w:val="1"/>
      <w:numFmt w:val="bullet"/>
      <w:lvlText w:val=""/>
      <w:lvlJc w:val="left"/>
      <w:pPr>
        <w:ind w:left="5720" w:hanging="360"/>
      </w:pPr>
      <w:rPr>
        <w:rFonts w:ascii="Symbol" w:hAnsi="Symbol" w:hint="default"/>
      </w:rPr>
    </w:lvl>
    <w:lvl w:ilvl="7" w:tplc="0C0A0003" w:tentative="1">
      <w:start w:val="1"/>
      <w:numFmt w:val="bullet"/>
      <w:lvlText w:val="o"/>
      <w:lvlJc w:val="left"/>
      <w:pPr>
        <w:ind w:left="6440" w:hanging="360"/>
      </w:pPr>
      <w:rPr>
        <w:rFonts w:ascii="Courier New" w:hAnsi="Courier New" w:cs="Courier New" w:hint="default"/>
      </w:rPr>
    </w:lvl>
    <w:lvl w:ilvl="8" w:tplc="0C0A0005" w:tentative="1">
      <w:start w:val="1"/>
      <w:numFmt w:val="bullet"/>
      <w:lvlText w:val=""/>
      <w:lvlJc w:val="left"/>
      <w:pPr>
        <w:ind w:left="7160" w:hanging="360"/>
      </w:pPr>
      <w:rPr>
        <w:rFonts w:ascii="Wingdings" w:hAnsi="Wingdings" w:hint="default"/>
      </w:rPr>
    </w:lvl>
  </w:abstractNum>
  <w:num w:numId="1">
    <w:abstractNumId w:val="6"/>
  </w:num>
  <w:num w:numId="2">
    <w:abstractNumId w:val="13"/>
  </w:num>
  <w:num w:numId="3">
    <w:abstractNumId w:val="10"/>
  </w:num>
  <w:num w:numId="4">
    <w:abstractNumId w:val="2"/>
  </w:num>
  <w:num w:numId="5">
    <w:abstractNumId w:val="8"/>
  </w:num>
  <w:num w:numId="6">
    <w:abstractNumId w:val="15"/>
  </w:num>
  <w:num w:numId="7">
    <w:abstractNumId w:val="17"/>
  </w:num>
  <w:num w:numId="8">
    <w:abstractNumId w:val="1"/>
  </w:num>
  <w:num w:numId="9">
    <w:abstractNumId w:val="11"/>
  </w:num>
  <w:num w:numId="10">
    <w:abstractNumId w:val="12"/>
  </w:num>
  <w:num w:numId="11">
    <w:abstractNumId w:val="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8"/>
    <w:lvlOverride w:ilvl="0">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6"/>
  </w:num>
  <w:num w:numId="19">
    <w:abstractNumId w:val="9"/>
  </w:num>
  <w:num w:numId="20">
    <w:abstractNumId w:val="14"/>
  </w:num>
  <w:num w:numId="21">
    <w:abstractNumId w:val="5"/>
  </w:num>
  <w:num w:numId="22">
    <w:abstractNumId w:val="3"/>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formatting="1" w:enforcement="0"/>
  <w:defaultTabStop w:val="708"/>
  <w:hyphenationZone w:val="425"/>
  <w:characterSpacingControl w:val="doNotCompress"/>
  <w:hdrShapeDefaults>
    <o:shapedefaults v:ext="edit" spidmax="32768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67F"/>
    <w:rsid w:val="00000030"/>
    <w:rsid w:val="00000462"/>
    <w:rsid w:val="000004A0"/>
    <w:rsid w:val="00000543"/>
    <w:rsid w:val="0000091D"/>
    <w:rsid w:val="000009B2"/>
    <w:rsid w:val="00001493"/>
    <w:rsid w:val="00001B0F"/>
    <w:rsid w:val="00002DA3"/>
    <w:rsid w:val="00002F44"/>
    <w:rsid w:val="000032B2"/>
    <w:rsid w:val="0000351B"/>
    <w:rsid w:val="00003E20"/>
    <w:rsid w:val="0000431F"/>
    <w:rsid w:val="00005A5E"/>
    <w:rsid w:val="0000611C"/>
    <w:rsid w:val="00006AAB"/>
    <w:rsid w:val="00006AFB"/>
    <w:rsid w:val="00006B24"/>
    <w:rsid w:val="00007289"/>
    <w:rsid w:val="000074AB"/>
    <w:rsid w:val="00007B27"/>
    <w:rsid w:val="000103DE"/>
    <w:rsid w:val="00010572"/>
    <w:rsid w:val="000106FD"/>
    <w:rsid w:val="00010753"/>
    <w:rsid w:val="00010A84"/>
    <w:rsid w:val="00010F61"/>
    <w:rsid w:val="00011397"/>
    <w:rsid w:val="000126E0"/>
    <w:rsid w:val="00012981"/>
    <w:rsid w:val="0001360A"/>
    <w:rsid w:val="00013899"/>
    <w:rsid w:val="000148E6"/>
    <w:rsid w:val="000151D0"/>
    <w:rsid w:val="000154CA"/>
    <w:rsid w:val="00016632"/>
    <w:rsid w:val="0001671E"/>
    <w:rsid w:val="00016D9E"/>
    <w:rsid w:val="000173BE"/>
    <w:rsid w:val="00020344"/>
    <w:rsid w:val="00020F3E"/>
    <w:rsid w:val="00021265"/>
    <w:rsid w:val="00021DA9"/>
    <w:rsid w:val="000225CD"/>
    <w:rsid w:val="00022AEB"/>
    <w:rsid w:val="00022FF0"/>
    <w:rsid w:val="00023216"/>
    <w:rsid w:val="000238BC"/>
    <w:rsid w:val="000245B8"/>
    <w:rsid w:val="00025778"/>
    <w:rsid w:val="0002580D"/>
    <w:rsid w:val="00025B71"/>
    <w:rsid w:val="00025C1C"/>
    <w:rsid w:val="000267E5"/>
    <w:rsid w:val="00027ADC"/>
    <w:rsid w:val="000312A4"/>
    <w:rsid w:val="00031639"/>
    <w:rsid w:val="00031972"/>
    <w:rsid w:val="00031D6A"/>
    <w:rsid w:val="000329C7"/>
    <w:rsid w:val="00033633"/>
    <w:rsid w:val="000336B9"/>
    <w:rsid w:val="00034098"/>
    <w:rsid w:val="00034221"/>
    <w:rsid w:val="00034CB3"/>
    <w:rsid w:val="00034E0B"/>
    <w:rsid w:val="00035606"/>
    <w:rsid w:val="000361A7"/>
    <w:rsid w:val="000364D8"/>
    <w:rsid w:val="000365B8"/>
    <w:rsid w:val="000366F0"/>
    <w:rsid w:val="000374BF"/>
    <w:rsid w:val="00037AAA"/>
    <w:rsid w:val="00037AE9"/>
    <w:rsid w:val="00040110"/>
    <w:rsid w:val="00040394"/>
    <w:rsid w:val="00040B6A"/>
    <w:rsid w:val="0004110E"/>
    <w:rsid w:val="000411B4"/>
    <w:rsid w:val="00042404"/>
    <w:rsid w:val="000434A8"/>
    <w:rsid w:val="000439DF"/>
    <w:rsid w:val="000444D0"/>
    <w:rsid w:val="0004459E"/>
    <w:rsid w:val="000447EA"/>
    <w:rsid w:val="00044DB3"/>
    <w:rsid w:val="000450AA"/>
    <w:rsid w:val="00045C50"/>
    <w:rsid w:val="00046EE1"/>
    <w:rsid w:val="0005010B"/>
    <w:rsid w:val="000501F4"/>
    <w:rsid w:val="00050439"/>
    <w:rsid w:val="00050D60"/>
    <w:rsid w:val="00050E8B"/>
    <w:rsid w:val="000510EA"/>
    <w:rsid w:val="0005167B"/>
    <w:rsid w:val="00051782"/>
    <w:rsid w:val="0005297B"/>
    <w:rsid w:val="000534D4"/>
    <w:rsid w:val="00053E26"/>
    <w:rsid w:val="0005439E"/>
    <w:rsid w:val="000543DF"/>
    <w:rsid w:val="0005683C"/>
    <w:rsid w:val="00056F15"/>
    <w:rsid w:val="00057037"/>
    <w:rsid w:val="000570EB"/>
    <w:rsid w:val="00061469"/>
    <w:rsid w:val="0006285D"/>
    <w:rsid w:val="000630EA"/>
    <w:rsid w:val="000634BE"/>
    <w:rsid w:val="00064149"/>
    <w:rsid w:val="0006423C"/>
    <w:rsid w:val="00064A5E"/>
    <w:rsid w:val="00064C67"/>
    <w:rsid w:val="00065A5A"/>
    <w:rsid w:val="00065B3B"/>
    <w:rsid w:val="00065E39"/>
    <w:rsid w:val="0006731E"/>
    <w:rsid w:val="0006779B"/>
    <w:rsid w:val="000700CE"/>
    <w:rsid w:val="0007043A"/>
    <w:rsid w:val="00070726"/>
    <w:rsid w:val="0007089C"/>
    <w:rsid w:val="0007393C"/>
    <w:rsid w:val="00073E8A"/>
    <w:rsid w:val="0007478E"/>
    <w:rsid w:val="000748E7"/>
    <w:rsid w:val="00074E06"/>
    <w:rsid w:val="00075161"/>
    <w:rsid w:val="00075F9A"/>
    <w:rsid w:val="0007613C"/>
    <w:rsid w:val="000765E3"/>
    <w:rsid w:val="00076BBB"/>
    <w:rsid w:val="000771B5"/>
    <w:rsid w:val="000772DC"/>
    <w:rsid w:val="00077A89"/>
    <w:rsid w:val="000807E4"/>
    <w:rsid w:val="00081466"/>
    <w:rsid w:val="0008179B"/>
    <w:rsid w:val="0008225D"/>
    <w:rsid w:val="00082820"/>
    <w:rsid w:val="00083748"/>
    <w:rsid w:val="000837B6"/>
    <w:rsid w:val="00084538"/>
    <w:rsid w:val="0008501F"/>
    <w:rsid w:val="00085888"/>
    <w:rsid w:val="000859D3"/>
    <w:rsid w:val="0008727C"/>
    <w:rsid w:val="000876F1"/>
    <w:rsid w:val="00087864"/>
    <w:rsid w:val="00087F27"/>
    <w:rsid w:val="000902F7"/>
    <w:rsid w:val="00090373"/>
    <w:rsid w:val="00090B65"/>
    <w:rsid w:val="000919F9"/>
    <w:rsid w:val="00092230"/>
    <w:rsid w:val="00092AB1"/>
    <w:rsid w:val="00092FEB"/>
    <w:rsid w:val="0009571B"/>
    <w:rsid w:val="00096126"/>
    <w:rsid w:val="00096D9F"/>
    <w:rsid w:val="00096DDB"/>
    <w:rsid w:val="000A188E"/>
    <w:rsid w:val="000A1AA8"/>
    <w:rsid w:val="000A1BD9"/>
    <w:rsid w:val="000A2B03"/>
    <w:rsid w:val="000A2ECA"/>
    <w:rsid w:val="000A3BC7"/>
    <w:rsid w:val="000A3E59"/>
    <w:rsid w:val="000A432C"/>
    <w:rsid w:val="000A4DE9"/>
    <w:rsid w:val="000A6553"/>
    <w:rsid w:val="000B0307"/>
    <w:rsid w:val="000B0A7E"/>
    <w:rsid w:val="000B1252"/>
    <w:rsid w:val="000B14B6"/>
    <w:rsid w:val="000B1B47"/>
    <w:rsid w:val="000B22C3"/>
    <w:rsid w:val="000B2C69"/>
    <w:rsid w:val="000B3070"/>
    <w:rsid w:val="000B3378"/>
    <w:rsid w:val="000B407A"/>
    <w:rsid w:val="000B468F"/>
    <w:rsid w:val="000B4BD8"/>
    <w:rsid w:val="000B5E68"/>
    <w:rsid w:val="000B6852"/>
    <w:rsid w:val="000B695B"/>
    <w:rsid w:val="000B69C9"/>
    <w:rsid w:val="000B7D10"/>
    <w:rsid w:val="000B7F1A"/>
    <w:rsid w:val="000C0D12"/>
    <w:rsid w:val="000C16CA"/>
    <w:rsid w:val="000C2015"/>
    <w:rsid w:val="000C206D"/>
    <w:rsid w:val="000C3090"/>
    <w:rsid w:val="000C3964"/>
    <w:rsid w:val="000C3C3A"/>
    <w:rsid w:val="000C428A"/>
    <w:rsid w:val="000C4465"/>
    <w:rsid w:val="000C47D9"/>
    <w:rsid w:val="000C5050"/>
    <w:rsid w:val="000C505B"/>
    <w:rsid w:val="000C57E1"/>
    <w:rsid w:val="000C582B"/>
    <w:rsid w:val="000C5EAF"/>
    <w:rsid w:val="000C679F"/>
    <w:rsid w:val="000C6892"/>
    <w:rsid w:val="000C6B01"/>
    <w:rsid w:val="000C6CA5"/>
    <w:rsid w:val="000C7777"/>
    <w:rsid w:val="000C7DDE"/>
    <w:rsid w:val="000D2048"/>
    <w:rsid w:val="000D2581"/>
    <w:rsid w:val="000D365E"/>
    <w:rsid w:val="000D38AA"/>
    <w:rsid w:val="000D39AF"/>
    <w:rsid w:val="000D4AE2"/>
    <w:rsid w:val="000D525A"/>
    <w:rsid w:val="000D6995"/>
    <w:rsid w:val="000D6DC7"/>
    <w:rsid w:val="000E0080"/>
    <w:rsid w:val="000E1559"/>
    <w:rsid w:val="000E17FC"/>
    <w:rsid w:val="000E2998"/>
    <w:rsid w:val="000E360E"/>
    <w:rsid w:val="000E39BD"/>
    <w:rsid w:val="000E3A73"/>
    <w:rsid w:val="000E3BF4"/>
    <w:rsid w:val="000E4729"/>
    <w:rsid w:val="000E4C80"/>
    <w:rsid w:val="000E57F8"/>
    <w:rsid w:val="000E683F"/>
    <w:rsid w:val="000E7492"/>
    <w:rsid w:val="000E7BC8"/>
    <w:rsid w:val="000F06D1"/>
    <w:rsid w:val="000F0C66"/>
    <w:rsid w:val="000F0F39"/>
    <w:rsid w:val="000F15DE"/>
    <w:rsid w:val="000F195C"/>
    <w:rsid w:val="000F1A77"/>
    <w:rsid w:val="000F1B81"/>
    <w:rsid w:val="000F21AA"/>
    <w:rsid w:val="000F22C3"/>
    <w:rsid w:val="000F2311"/>
    <w:rsid w:val="000F2D6E"/>
    <w:rsid w:val="000F3CE8"/>
    <w:rsid w:val="000F46C2"/>
    <w:rsid w:val="000F498B"/>
    <w:rsid w:val="000F6425"/>
    <w:rsid w:val="000F6456"/>
    <w:rsid w:val="000F68DA"/>
    <w:rsid w:val="000F6E98"/>
    <w:rsid w:val="000F6FCF"/>
    <w:rsid w:val="000F711F"/>
    <w:rsid w:val="000F7F62"/>
    <w:rsid w:val="00100E6D"/>
    <w:rsid w:val="001014FA"/>
    <w:rsid w:val="00101A2E"/>
    <w:rsid w:val="001026AF"/>
    <w:rsid w:val="0010287C"/>
    <w:rsid w:val="001033AE"/>
    <w:rsid w:val="00103E65"/>
    <w:rsid w:val="00104260"/>
    <w:rsid w:val="00104348"/>
    <w:rsid w:val="001047AF"/>
    <w:rsid w:val="00104962"/>
    <w:rsid w:val="00106089"/>
    <w:rsid w:val="00106100"/>
    <w:rsid w:val="00106CAA"/>
    <w:rsid w:val="001070F2"/>
    <w:rsid w:val="00110204"/>
    <w:rsid w:val="001106B8"/>
    <w:rsid w:val="001107FA"/>
    <w:rsid w:val="00111B81"/>
    <w:rsid w:val="00111E8B"/>
    <w:rsid w:val="0011203E"/>
    <w:rsid w:val="00112041"/>
    <w:rsid w:val="0011235E"/>
    <w:rsid w:val="001126D2"/>
    <w:rsid w:val="00112829"/>
    <w:rsid w:val="001132F1"/>
    <w:rsid w:val="001133BE"/>
    <w:rsid w:val="00113857"/>
    <w:rsid w:val="00115A3F"/>
    <w:rsid w:val="00116E1D"/>
    <w:rsid w:val="001179EC"/>
    <w:rsid w:val="0012047F"/>
    <w:rsid w:val="00120548"/>
    <w:rsid w:val="00120FB7"/>
    <w:rsid w:val="001212D9"/>
    <w:rsid w:val="00121336"/>
    <w:rsid w:val="0012158D"/>
    <w:rsid w:val="001229E3"/>
    <w:rsid w:val="00122D3C"/>
    <w:rsid w:val="0012399E"/>
    <w:rsid w:val="00123F47"/>
    <w:rsid w:val="0012429D"/>
    <w:rsid w:val="0012471E"/>
    <w:rsid w:val="00124EE0"/>
    <w:rsid w:val="00124F8A"/>
    <w:rsid w:val="00125CBD"/>
    <w:rsid w:val="00125E30"/>
    <w:rsid w:val="00126A78"/>
    <w:rsid w:val="0012752E"/>
    <w:rsid w:val="001275C8"/>
    <w:rsid w:val="00127EBD"/>
    <w:rsid w:val="00127EEE"/>
    <w:rsid w:val="0013054A"/>
    <w:rsid w:val="00130675"/>
    <w:rsid w:val="00130F6D"/>
    <w:rsid w:val="00131965"/>
    <w:rsid w:val="00131AE8"/>
    <w:rsid w:val="00132AF4"/>
    <w:rsid w:val="001339DD"/>
    <w:rsid w:val="00133BBD"/>
    <w:rsid w:val="00133C85"/>
    <w:rsid w:val="00133D26"/>
    <w:rsid w:val="00133D73"/>
    <w:rsid w:val="00134246"/>
    <w:rsid w:val="00134EE3"/>
    <w:rsid w:val="00137340"/>
    <w:rsid w:val="001400C7"/>
    <w:rsid w:val="0014044D"/>
    <w:rsid w:val="00140702"/>
    <w:rsid w:val="00140704"/>
    <w:rsid w:val="00140F06"/>
    <w:rsid w:val="001410BE"/>
    <w:rsid w:val="001410F2"/>
    <w:rsid w:val="001414CB"/>
    <w:rsid w:val="00141875"/>
    <w:rsid w:val="00142016"/>
    <w:rsid w:val="00142AFC"/>
    <w:rsid w:val="001430E0"/>
    <w:rsid w:val="0014395D"/>
    <w:rsid w:val="00143B06"/>
    <w:rsid w:val="00143F2C"/>
    <w:rsid w:val="0014408E"/>
    <w:rsid w:val="001440EC"/>
    <w:rsid w:val="00144721"/>
    <w:rsid w:val="001448D3"/>
    <w:rsid w:val="00144A94"/>
    <w:rsid w:val="00145B0C"/>
    <w:rsid w:val="00145D07"/>
    <w:rsid w:val="00145FA1"/>
    <w:rsid w:val="00146361"/>
    <w:rsid w:val="00146513"/>
    <w:rsid w:val="00146A19"/>
    <w:rsid w:val="00147ED2"/>
    <w:rsid w:val="00147F5F"/>
    <w:rsid w:val="00151A1D"/>
    <w:rsid w:val="00153657"/>
    <w:rsid w:val="00153A60"/>
    <w:rsid w:val="001564D5"/>
    <w:rsid w:val="00156558"/>
    <w:rsid w:val="001569C3"/>
    <w:rsid w:val="00156FC2"/>
    <w:rsid w:val="00160556"/>
    <w:rsid w:val="001609DA"/>
    <w:rsid w:val="001614DD"/>
    <w:rsid w:val="00161B5B"/>
    <w:rsid w:val="00161C38"/>
    <w:rsid w:val="00162042"/>
    <w:rsid w:val="001634D1"/>
    <w:rsid w:val="0016376E"/>
    <w:rsid w:val="00163A32"/>
    <w:rsid w:val="00163B91"/>
    <w:rsid w:val="001641D0"/>
    <w:rsid w:val="00164225"/>
    <w:rsid w:val="0016508E"/>
    <w:rsid w:val="00165107"/>
    <w:rsid w:val="00165DA0"/>
    <w:rsid w:val="0016623A"/>
    <w:rsid w:val="00166CAD"/>
    <w:rsid w:val="00166D4E"/>
    <w:rsid w:val="00167AC0"/>
    <w:rsid w:val="00170A3B"/>
    <w:rsid w:val="001713AC"/>
    <w:rsid w:val="00171544"/>
    <w:rsid w:val="001717E5"/>
    <w:rsid w:val="00171952"/>
    <w:rsid w:val="00171A16"/>
    <w:rsid w:val="00172C82"/>
    <w:rsid w:val="00173A85"/>
    <w:rsid w:val="00173F66"/>
    <w:rsid w:val="00174253"/>
    <w:rsid w:val="001745D5"/>
    <w:rsid w:val="00174CC1"/>
    <w:rsid w:val="00174EE3"/>
    <w:rsid w:val="0017586F"/>
    <w:rsid w:val="00175D09"/>
    <w:rsid w:val="00175E1F"/>
    <w:rsid w:val="00176180"/>
    <w:rsid w:val="00177A3E"/>
    <w:rsid w:val="00177D9F"/>
    <w:rsid w:val="0018013C"/>
    <w:rsid w:val="001801B9"/>
    <w:rsid w:val="001801C3"/>
    <w:rsid w:val="001801F9"/>
    <w:rsid w:val="001804F5"/>
    <w:rsid w:val="00180733"/>
    <w:rsid w:val="001809DA"/>
    <w:rsid w:val="00180BB7"/>
    <w:rsid w:val="0018141F"/>
    <w:rsid w:val="00182104"/>
    <w:rsid w:val="00182146"/>
    <w:rsid w:val="001827BE"/>
    <w:rsid w:val="00182DBE"/>
    <w:rsid w:val="0018399E"/>
    <w:rsid w:val="00183C16"/>
    <w:rsid w:val="0018450E"/>
    <w:rsid w:val="0018451D"/>
    <w:rsid w:val="001859D8"/>
    <w:rsid w:val="00185A24"/>
    <w:rsid w:val="00186731"/>
    <w:rsid w:val="0018766E"/>
    <w:rsid w:val="00187F66"/>
    <w:rsid w:val="00191545"/>
    <w:rsid w:val="00191741"/>
    <w:rsid w:val="001919E4"/>
    <w:rsid w:val="001919FB"/>
    <w:rsid w:val="00191E2E"/>
    <w:rsid w:val="0019253F"/>
    <w:rsid w:val="001937C4"/>
    <w:rsid w:val="00193890"/>
    <w:rsid w:val="00193C5C"/>
    <w:rsid w:val="0019411D"/>
    <w:rsid w:val="001943D5"/>
    <w:rsid w:val="00194C39"/>
    <w:rsid w:val="00195687"/>
    <w:rsid w:val="00195C44"/>
    <w:rsid w:val="00196348"/>
    <w:rsid w:val="001966EC"/>
    <w:rsid w:val="0019678F"/>
    <w:rsid w:val="00197633"/>
    <w:rsid w:val="001976F9"/>
    <w:rsid w:val="001A051B"/>
    <w:rsid w:val="001A07E4"/>
    <w:rsid w:val="001A0911"/>
    <w:rsid w:val="001A1B77"/>
    <w:rsid w:val="001A20A9"/>
    <w:rsid w:val="001A20AA"/>
    <w:rsid w:val="001A20AC"/>
    <w:rsid w:val="001A2E1D"/>
    <w:rsid w:val="001A4549"/>
    <w:rsid w:val="001A48EB"/>
    <w:rsid w:val="001A4EFF"/>
    <w:rsid w:val="001A5188"/>
    <w:rsid w:val="001A56C3"/>
    <w:rsid w:val="001A5785"/>
    <w:rsid w:val="001A67E9"/>
    <w:rsid w:val="001A743A"/>
    <w:rsid w:val="001A77C2"/>
    <w:rsid w:val="001A7DB1"/>
    <w:rsid w:val="001B0B0D"/>
    <w:rsid w:val="001B0FC2"/>
    <w:rsid w:val="001B2E39"/>
    <w:rsid w:val="001B4106"/>
    <w:rsid w:val="001B41D4"/>
    <w:rsid w:val="001B4B88"/>
    <w:rsid w:val="001B4D04"/>
    <w:rsid w:val="001B4E96"/>
    <w:rsid w:val="001B5169"/>
    <w:rsid w:val="001B542F"/>
    <w:rsid w:val="001B7E35"/>
    <w:rsid w:val="001C07F2"/>
    <w:rsid w:val="001C0B98"/>
    <w:rsid w:val="001C1235"/>
    <w:rsid w:val="001C13F4"/>
    <w:rsid w:val="001C1601"/>
    <w:rsid w:val="001C16D6"/>
    <w:rsid w:val="001C25D3"/>
    <w:rsid w:val="001C26CC"/>
    <w:rsid w:val="001C2B65"/>
    <w:rsid w:val="001C4434"/>
    <w:rsid w:val="001C5B46"/>
    <w:rsid w:val="001C5E85"/>
    <w:rsid w:val="001C6324"/>
    <w:rsid w:val="001C651A"/>
    <w:rsid w:val="001C6740"/>
    <w:rsid w:val="001C692D"/>
    <w:rsid w:val="001C721E"/>
    <w:rsid w:val="001D10AB"/>
    <w:rsid w:val="001D135C"/>
    <w:rsid w:val="001D18CA"/>
    <w:rsid w:val="001D1B1E"/>
    <w:rsid w:val="001D25D1"/>
    <w:rsid w:val="001D3E29"/>
    <w:rsid w:val="001D494C"/>
    <w:rsid w:val="001D5006"/>
    <w:rsid w:val="001D6F9B"/>
    <w:rsid w:val="001D7AC9"/>
    <w:rsid w:val="001D7B1B"/>
    <w:rsid w:val="001E0E5D"/>
    <w:rsid w:val="001E12EF"/>
    <w:rsid w:val="001E1558"/>
    <w:rsid w:val="001E20E9"/>
    <w:rsid w:val="001E2D6B"/>
    <w:rsid w:val="001E3D83"/>
    <w:rsid w:val="001E4C09"/>
    <w:rsid w:val="001E516A"/>
    <w:rsid w:val="001E67BF"/>
    <w:rsid w:val="001E7C3A"/>
    <w:rsid w:val="001E7FED"/>
    <w:rsid w:val="001F2547"/>
    <w:rsid w:val="001F254C"/>
    <w:rsid w:val="001F2C7B"/>
    <w:rsid w:val="001F361B"/>
    <w:rsid w:val="001F3D28"/>
    <w:rsid w:val="001F3F4A"/>
    <w:rsid w:val="001F40C6"/>
    <w:rsid w:val="001F57C8"/>
    <w:rsid w:val="001F65AA"/>
    <w:rsid w:val="001F68DE"/>
    <w:rsid w:val="001F731D"/>
    <w:rsid w:val="001F7730"/>
    <w:rsid w:val="00201812"/>
    <w:rsid w:val="0020237A"/>
    <w:rsid w:val="002026E7"/>
    <w:rsid w:val="00202E7B"/>
    <w:rsid w:val="00203DF4"/>
    <w:rsid w:val="002041C8"/>
    <w:rsid w:val="00204E4F"/>
    <w:rsid w:val="00206EA5"/>
    <w:rsid w:val="0020799F"/>
    <w:rsid w:val="00211014"/>
    <w:rsid w:val="00211238"/>
    <w:rsid w:val="00211672"/>
    <w:rsid w:val="002118E4"/>
    <w:rsid w:val="00211978"/>
    <w:rsid w:val="002121E0"/>
    <w:rsid w:val="002123D9"/>
    <w:rsid w:val="0021274C"/>
    <w:rsid w:val="00212C00"/>
    <w:rsid w:val="00213370"/>
    <w:rsid w:val="00213A51"/>
    <w:rsid w:val="00213F98"/>
    <w:rsid w:val="002143DC"/>
    <w:rsid w:val="00214F98"/>
    <w:rsid w:val="00215950"/>
    <w:rsid w:val="00216B4A"/>
    <w:rsid w:val="00216EF8"/>
    <w:rsid w:val="002172A6"/>
    <w:rsid w:val="002202DF"/>
    <w:rsid w:val="00220FDB"/>
    <w:rsid w:val="0022163F"/>
    <w:rsid w:val="00221AFA"/>
    <w:rsid w:val="00222FCC"/>
    <w:rsid w:val="00223689"/>
    <w:rsid w:val="002237FA"/>
    <w:rsid w:val="00224149"/>
    <w:rsid w:val="00224ADE"/>
    <w:rsid w:val="0022515B"/>
    <w:rsid w:val="002258FC"/>
    <w:rsid w:val="00225C48"/>
    <w:rsid w:val="0022679C"/>
    <w:rsid w:val="002272BD"/>
    <w:rsid w:val="00227DF2"/>
    <w:rsid w:val="0023091D"/>
    <w:rsid w:val="00230C13"/>
    <w:rsid w:val="0023160C"/>
    <w:rsid w:val="00231BDA"/>
    <w:rsid w:val="00231C74"/>
    <w:rsid w:val="00231D50"/>
    <w:rsid w:val="00232DB4"/>
    <w:rsid w:val="00232DCB"/>
    <w:rsid w:val="00233259"/>
    <w:rsid w:val="002335FE"/>
    <w:rsid w:val="00233A97"/>
    <w:rsid w:val="00234549"/>
    <w:rsid w:val="002347B7"/>
    <w:rsid w:val="00234BAF"/>
    <w:rsid w:val="00234DA2"/>
    <w:rsid w:val="002350B7"/>
    <w:rsid w:val="0023540E"/>
    <w:rsid w:val="00235AE3"/>
    <w:rsid w:val="00236165"/>
    <w:rsid w:val="00236692"/>
    <w:rsid w:val="00236A88"/>
    <w:rsid w:val="00236DD3"/>
    <w:rsid w:val="00236DF9"/>
    <w:rsid w:val="0023757C"/>
    <w:rsid w:val="0023784E"/>
    <w:rsid w:val="0024083E"/>
    <w:rsid w:val="00240A3D"/>
    <w:rsid w:val="00240CEA"/>
    <w:rsid w:val="0024126E"/>
    <w:rsid w:val="002417A6"/>
    <w:rsid w:val="00241822"/>
    <w:rsid w:val="00242918"/>
    <w:rsid w:val="00244BF1"/>
    <w:rsid w:val="0024593C"/>
    <w:rsid w:val="00245949"/>
    <w:rsid w:val="0024600C"/>
    <w:rsid w:val="0024629B"/>
    <w:rsid w:val="00246DA3"/>
    <w:rsid w:val="002475C1"/>
    <w:rsid w:val="0024764D"/>
    <w:rsid w:val="00250036"/>
    <w:rsid w:val="00250C4D"/>
    <w:rsid w:val="00250F12"/>
    <w:rsid w:val="00251090"/>
    <w:rsid w:val="00251124"/>
    <w:rsid w:val="00251340"/>
    <w:rsid w:val="00251B1E"/>
    <w:rsid w:val="00251FA4"/>
    <w:rsid w:val="00252022"/>
    <w:rsid w:val="002520A9"/>
    <w:rsid w:val="00253FF3"/>
    <w:rsid w:val="002543F5"/>
    <w:rsid w:val="00254591"/>
    <w:rsid w:val="00254637"/>
    <w:rsid w:val="002548FA"/>
    <w:rsid w:val="00254A17"/>
    <w:rsid w:val="0025570C"/>
    <w:rsid w:val="00256688"/>
    <w:rsid w:val="002568E9"/>
    <w:rsid w:val="00256949"/>
    <w:rsid w:val="00260B43"/>
    <w:rsid w:val="00260CC7"/>
    <w:rsid w:val="002618E2"/>
    <w:rsid w:val="00261945"/>
    <w:rsid w:val="00261FB9"/>
    <w:rsid w:val="00262E40"/>
    <w:rsid w:val="002630EF"/>
    <w:rsid w:val="00263B24"/>
    <w:rsid w:val="0026487A"/>
    <w:rsid w:val="00265981"/>
    <w:rsid w:val="00265AAD"/>
    <w:rsid w:val="00267386"/>
    <w:rsid w:val="00267649"/>
    <w:rsid w:val="002676C2"/>
    <w:rsid w:val="002707E6"/>
    <w:rsid w:val="00270889"/>
    <w:rsid w:val="00270A53"/>
    <w:rsid w:val="00274397"/>
    <w:rsid w:val="00274ECC"/>
    <w:rsid w:val="00275741"/>
    <w:rsid w:val="00276359"/>
    <w:rsid w:val="002763CC"/>
    <w:rsid w:val="00276F57"/>
    <w:rsid w:val="00277111"/>
    <w:rsid w:val="00277ADC"/>
    <w:rsid w:val="00280D73"/>
    <w:rsid w:val="00280F13"/>
    <w:rsid w:val="002812CD"/>
    <w:rsid w:val="0028163E"/>
    <w:rsid w:val="00281E0B"/>
    <w:rsid w:val="00281FB9"/>
    <w:rsid w:val="00282EFB"/>
    <w:rsid w:val="00284C80"/>
    <w:rsid w:val="00286000"/>
    <w:rsid w:val="00286506"/>
    <w:rsid w:val="002868AF"/>
    <w:rsid w:val="00286FFD"/>
    <w:rsid w:val="00287866"/>
    <w:rsid w:val="00290447"/>
    <w:rsid w:val="002908A7"/>
    <w:rsid w:val="002918E6"/>
    <w:rsid w:val="0029198B"/>
    <w:rsid w:val="00293D21"/>
    <w:rsid w:val="00293EAE"/>
    <w:rsid w:val="002943A6"/>
    <w:rsid w:val="00294515"/>
    <w:rsid w:val="0029473D"/>
    <w:rsid w:val="00295067"/>
    <w:rsid w:val="00296ED0"/>
    <w:rsid w:val="00296F4C"/>
    <w:rsid w:val="0029777A"/>
    <w:rsid w:val="002A016E"/>
    <w:rsid w:val="002A036D"/>
    <w:rsid w:val="002A05CA"/>
    <w:rsid w:val="002A0D49"/>
    <w:rsid w:val="002A10BD"/>
    <w:rsid w:val="002A1229"/>
    <w:rsid w:val="002A1CDF"/>
    <w:rsid w:val="002A2658"/>
    <w:rsid w:val="002A29DF"/>
    <w:rsid w:val="002A2A5D"/>
    <w:rsid w:val="002A36E0"/>
    <w:rsid w:val="002A3796"/>
    <w:rsid w:val="002A3A47"/>
    <w:rsid w:val="002A3B9B"/>
    <w:rsid w:val="002A3C3C"/>
    <w:rsid w:val="002A4316"/>
    <w:rsid w:val="002A4A35"/>
    <w:rsid w:val="002A508C"/>
    <w:rsid w:val="002A51F7"/>
    <w:rsid w:val="002A536E"/>
    <w:rsid w:val="002A579B"/>
    <w:rsid w:val="002A5A02"/>
    <w:rsid w:val="002A5C4A"/>
    <w:rsid w:val="002A61A1"/>
    <w:rsid w:val="002A64D3"/>
    <w:rsid w:val="002A68CB"/>
    <w:rsid w:val="002B1B5F"/>
    <w:rsid w:val="002B1EBE"/>
    <w:rsid w:val="002B2787"/>
    <w:rsid w:val="002B2983"/>
    <w:rsid w:val="002B2C7D"/>
    <w:rsid w:val="002B3249"/>
    <w:rsid w:val="002B3991"/>
    <w:rsid w:val="002B538C"/>
    <w:rsid w:val="002B57DF"/>
    <w:rsid w:val="002B5C22"/>
    <w:rsid w:val="002B7FB3"/>
    <w:rsid w:val="002C021A"/>
    <w:rsid w:val="002C03F2"/>
    <w:rsid w:val="002C0EBA"/>
    <w:rsid w:val="002C1F4A"/>
    <w:rsid w:val="002C2115"/>
    <w:rsid w:val="002C219D"/>
    <w:rsid w:val="002C2E60"/>
    <w:rsid w:val="002C365F"/>
    <w:rsid w:val="002C3BF4"/>
    <w:rsid w:val="002C4168"/>
    <w:rsid w:val="002C427F"/>
    <w:rsid w:val="002C42A7"/>
    <w:rsid w:val="002C43CE"/>
    <w:rsid w:val="002C496E"/>
    <w:rsid w:val="002C4A43"/>
    <w:rsid w:val="002C60BF"/>
    <w:rsid w:val="002C655A"/>
    <w:rsid w:val="002C6BBF"/>
    <w:rsid w:val="002C726E"/>
    <w:rsid w:val="002C7533"/>
    <w:rsid w:val="002C7613"/>
    <w:rsid w:val="002C7788"/>
    <w:rsid w:val="002C7994"/>
    <w:rsid w:val="002C7EE5"/>
    <w:rsid w:val="002D06AD"/>
    <w:rsid w:val="002D13F1"/>
    <w:rsid w:val="002D1441"/>
    <w:rsid w:val="002D34AC"/>
    <w:rsid w:val="002D38B7"/>
    <w:rsid w:val="002D40F0"/>
    <w:rsid w:val="002D52F9"/>
    <w:rsid w:val="002D535D"/>
    <w:rsid w:val="002D5395"/>
    <w:rsid w:val="002D5B09"/>
    <w:rsid w:val="002D6283"/>
    <w:rsid w:val="002D6756"/>
    <w:rsid w:val="002D745C"/>
    <w:rsid w:val="002E0253"/>
    <w:rsid w:val="002E03BB"/>
    <w:rsid w:val="002E075C"/>
    <w:rsid w:val="002E0B8D"/>
    <w:rsid w:val="002E0DB9"/>
    <w:rsid w:val="002E112A"/>
    <w:rsid w:val="002E11AA"/>
    <w:rsid w:val="002E1B59"/>
    <w:rsid w:val="002E37C3"/>
    <w:rsid w:val="002E3E8F"/>
    <w:rsid w:val="002E43E4"/>
    <w:rsid w:val="002E4709"/>
    <w:rsid w:val="002E4786"/>
    <w:rsid w:val="002E47C4"/>
    <w:rsid w:val="002E496F"/>
    <w:rsid w:val="002E50FD"/>
    <w:rsid w:val="002E54A5"/>
    <w:rsid w:val="002E5974"/>
    <w:rsid w:val="002E5AE5"/>
    <w:rsid w:val="002F0198"/>
    <w:rsid w:val="002F0708"/>
    <w:rsid w:val="002F1460"/>
    <w:rsid w:val="002F1E07"/>
    <w:rsid w:val="002F1E3B"/>
    <w:rsid w:val="002F1F5E"/>
    <w:rsid w:val="002F2B18"/>
    <w:rsid w:val="002F2F0C"/>
    <w:rsid w:val="002F3BAD"/>
    <w:rsid w:val="002F3F70"/>
    <w:rsid w:val="002F49AA"/>
    <w:rsid w:val="002F4C4B"/>
    <w:rsid w:val="002F54BE"/>
    <w:rsid w:val="002F58DF"/>
    <w:rsid w:val="002F5CFB"/>
    <w:rsid w:val="002F64CB"/>
    <w:rsid w:val="002F676A"/>
    <w:rsid w:val="002F686F"/>
    <w:rsid w:val="002F7AAC"/>
    <w:rsid w:val="002F7B81"/>
    <w:rsid w:val="002F7C16"/>
    <w:rsid w:val="002F7DAB"/>
    <w:rsid w:val="003010EB"/>
    <w:rsid w:val="00301D43"/>
    <w:rsid w:val="00302127"/>
    <w:rsid w:val="003025B4"/>
    <w:rsid w:val="0030271F"/>
    <w:rsid w:val="00302A0C"/>
    <w:rsid w:val="00302BD8"/>
    <w:rsid w:val="00303D9A"/>
    <w:rsid w:val="00303F83"/>
    <w:rsid w:val="00304483"/>
    <w:rsid w:val="0030456D"/>
    <w:rsid w:val="00305295"/>
    <w:rsid w:val="00306083"/>
    <w:rsid w:val="00306204"/>
    <w:rsid w:val="00306C2E"/>
    <w:rsid w:val="0030765A"/>
    <w:rsid w:val="00307DB3"/>
    <w:rsid w:val="003101BE"/>
    <w:rsid w:val="00310EE1"/>
    <w:rsid w:val="003120C9"/>
    <w:rsid w:val="0031234A"/>
    <w:rsid w:val="003125F0"/>
    <w:rsid w:val="00312732"/>
    <w:rsid w:val="00312F37"/>
    <w:rsid w:val="00314154"/>
    <w:rsid w:val="003146F9"/>
    <w:rsid w:val="003169B7"/>
    <w:rsid w:val="00316D44"/>
    <w:rsid w:val="00320707"/>
    <w:rsid w:val="00320842"/>
    <w:rsid w:val="0032226B"/>
    <w:rsid w:val="003225D9"/>
    <w:rsid w:val="00323461"/>
    <w:rsid w:val="00323F63"/>
    <w:rsid w:val="00323FD3"/>
    <w:rsid w:val="003241BF"/>
    <w:rsid w:val="003246D2"/>
    <w:rsid w:val="00324BA0"/>
    <w:rsid w:val="00325B56"/>
    <w:rsid w:val="003266BD"/>
    <w:rsid w:val="00326774"/>
    <w:rsid w:val="00326C4C"/>
    <w:rsid w:val="0032764A"/>
    <w:rsid w:val="00327D72"/>
    <w:rsid w:val="00330A3B"/>
    <w:rsid w:val="0033230D"/>
    <w:rsid w:val="00333377"/>
    <w:rsid w:val="00333595"/>
    <w:rsid w:val="00334F6D"/>
    <w:rsid w:val="00335150"/>
    <w:rsid w:val="003363D4"/>
    <w:rsid w:val="003364F6"/>
    <w:rsid w:val="00336F94"/>
    <w:rsid w:val="003406B7"/>
    <w:rsid w:val="00340903"/>
    <w:rsid w:val="003417BB"/>
    <w:rsid w:val="00341B7B"/>
    <w:rsid w:val="00341D67"/>
    <w:rsid w:val="0034249B"/>
    <w:rsid w:val="003425F9"/>
    <w:rsid w:val="003426D0"/>
    <w:rsid w:val="003432D2"/>
    <w:rsid w:val="0034344F"/>
    <w:rsid w:val="003440EA"/>
    <w:rsid w:val="003440EE"/>
    <w:rsid w:val="00344345"/>
    <w:rsid w:val="0034454D"/>
    <w:rsid w:val="00344B8C"/>
    <w:rsid w:val="0034600B"/>
    <w:rsid w:val="003473B9"/>
    <w:rsid w:val="003476D7"/>
    <w:rsid w:val="003476F5"/>
    <w:rsid w:val="00350085"/>
    <w:rsid w:val="00350FB5"/>
    <w:rsid w:val="003510ED"/>
    <w:rsid w:val="00351874"/>
    <w:rsid w:val="0035204A"/>
    <w:rsid w:val="0035289A"/>
    <w:rsid w:val="003529C7"/>
    <w:rsid w:val="00352B5F"/>
    <w:rsid w:val="003531C6"/>
    <w:rsid w:val="0035325C"/>
    <w:rsid w:val="003535B6"/>
    <w:rsid w:val="003543C8"/>
    <w:rsid w:val="00354ACA"/>
    <w:rsid w:val="00354BA4"/>
    <w:rsid w:val="00354EA5"/>
    <w:rsid w:val="0035560E"/>
    <w:rsid w:val="00356520"/>
    <w:rsid w:val="00357225"/>
    <w:rsid w:val="00360764"/>
    <w:rsid w:val="00360FCE"/>
    <w:rsid w:val="0036105C"/>
    <w:rsid w:val="0036169A"/>
    <w:rsid w:val="00362262"/>
    <w:rsid w:val="00362404"/>
    <w:rsid w:val="0036254F"/>
    <w:rsid w:val="00362DB6"/>
    <w:rsid w:val="00363004"/>
    <w:rsid w:val="00363A0B"/>
    <w:rsid w:val="00364662"/>
    <w:rsid w:val="00364B54"/>
    <w:rsid w:val="00365D93"/>
    <w:rsid w:val="00366783"/>
    <w:rsid w:val="0036796A"/>
    <w:rsid w:val="00370BB8"/>
    <w:rsid w:val="00370FF4"/>
    <w:rsid w:val="0037114B"/>
    <w:rsid w:val="00371741"/>
    <w:rsid w:val="0037191D"/>
    <w:rsid w:val="00371B8B"/>
    <w:rsid w:val="00371D68"/>
    <w:rsid w:val="003724D3"/>
    <w:rsid w:val="00372891"/>
    <w:rsid w:val="00372C3C"/>
    <w:rsid w:val="003732DF"/>
    <w:rsid w:val="0037339A"/>
    <w:rsid w:val="00374239"/>
    <w:rsid w:val="003744B3"/>
    <w:rsid w:val="0037492C"/>
    <w:rsid w:val="00374DB3"/>
    <w:rsid w:val="00374F01"/>
    <w:rsid w:val="003754D3"/>
    <w:rsid w:val="0037555D"/>
    <w:rsid w:val="00376E3A"/>
    <w:rsid w:val="00381CA2"/>
    <w:rsid w:val="00382288"/>
    <w:rsid w:val="003826A8"/>
    <w:rsid w:val="003826D0"/>
    <w:rsid w:val="00382B2F"/>
    <w:rsid w:val="003842A7"/>
    <w:rsid w:val="00384C78"/>
    <w:rsid w:val="0038543E"/>
    <w:rsid w:val="00385449"/>
    <w:rsid w:val="00385968"/>
    <w:rsid w:val="00386128"/>
    <w:rsid w:val="003873C8"/>
    <w:rsid w:val="003878E2"/>
    <w:rsid w:val="00387909"/>
    <w:rsid w:val="00387F7E"/>
    <w:rsid w:val="0039059B"/>
    <w:rsid w:val="00390625"/>
    <w:rsid w:val="00390A5E"/>
    <w:rsid w:val="003910C3"/>
    <w:rsid w:val="00391F29"/>
    <w:rsid w:val="00392613"/>
    <w:rsid w:val="0039269A"/>
    <w:rsid w:val="00393791"/>
    <w:rsid w:val="00393B93"/>
    <w:rsid w:val="0039502A"/>
    <w:rsid w:val="00396371"/>
    <w:rsid w:val="00396CF8"/>
    <w:rsid w:val="00396DCC"/>
    <w:rsid w:val="003A0583"/>
    <w:rsid w:val="003A114C"/>
    <w:rsid w:val="003A1548"/>
    <w:rsid w:val="003A2F47"/>
    <w:rsid w:val="003A349E"/>
    <w:rsid w:val="003A3802"/>
    <w:rsid w:val="003A3A4A"/>
    <w:rsid w:val="003A3A5F"/>
    <w:rsid w:val="003A40E7"/>
    <w:rsid w:val="003A4556"/>
    <w:rsid w:val="003A4D66"/>
    <w:rsid w:val="003A5FE5"/>
    <w:rsid w:val="003A60C9"/>
    <w:rsid w:val="003A69CD"/>
    <w:rsid w:val="003A7688"/>
    <w:rsid w:val="003B042D"/>
    <w:rsid w:val="003B0488"/>
    <w:rsid w:val="003B0BEC"/>
    <w:rsid w:val="003B0BFC"/>
    <w:rsid w:val="003B1B6E"/>
    <w:rsid w:val="003B2D9D"/>
    <w:rsid w:val="003B35C4"/>
    <w:rsid w:val="003B3C45"/>
    <w:rsid w:val="003B443F"/>
    <w:rsid w:val="003B458F"/>
    <w:rsid w:val="003B472F"/>
    <w:rsid w:val="003B4F0E"/>
    <w:rsid w:val="003B5723"/>
    <w:rsid w:val="003B6085"/>
    <w:rsid w:val="003B6552"/>
    <w:rsid w:val="003B673D"/>
    <w:rsid w:val="003B6A17"/>
    <w:rsid w:val="003B6DBB"/>
    <w:rsid w:val="003B7072"/>
    <w:rsid w:val="003B794F"/>
    <w:rsid w:val="003B7A2F"/>
    <w:rsid w:val="003B7DAB"/>
    <w:rsid w:val="003B7FB6"/>
    <w:rsid w:val="003C0953"/>
    <w:rsid w:val="003C181C"/>
    <w:rsid w:val="003C1CFE"/>
    <w:rsid w:val="003C3611"/>
    <w:rsid w:val="003C36EF"/>
    <w:rsid w:val="003C3CA7"/>
    <w:rsid w:val="003C459F"/>
    <w:rsid w:val="003C48DE"/>
    <w:rsid w:val="003C4A3B"/>
    <w:rsid w:val="003C5061"/>
    <w:rsid w:val="003C50FF"/>
    <w:rsid w:val="003C5216"/>
    <w:rsid w:val="003C5317"/>
    <w:rsid w:val="003C59F3"/>
    <w:rsid w:val="003C5A46"/>
    <w:rsid w:val="003C5EA3"/>
    <w:rsid w:val="003C610E"/>
    <w:rsid w:val="003C6A67"/>
    <w:rsid w:val="003C6BFD"/>
    <w:rsid w:val="003C7339"/>
    <w:rsid w:val="003C7441"/>
    <w:rsid w:val="003C7A66"/>
    <w:rsid w:val="003C7CB5"/>
    <w:rsid w:val="003C7F95"/>
    <w:rsid w:val="003D02EF"/>
    <w:rsid w:val="003D041A"/>
    <w:rsid w:val="003D1147"/>
    <w:rsid w:val="003D138F"/>
    <w:rsid w:val="003D26E2"/>
    <w:rsid w:val="003D31D9"/>
    <w:rsid w:val="003D45FF"/>
    <w:rsid w:val="003D5526"/>
    <w:rsid w:val="003D5984"/>
    <w:rsid w:val="003D5B7B"/>
    <w:rsid w:val="003D6E92"/>
    <w:rsid w:val="003D6EEF"/>
    <w:rsid w:val="003D6F73"/>
    <w:rsid w:val="003D7146"/>
    <w:rsid w:val="003D73B2"/>
    <w:rsid w:val="003E1021"/>
    <w:rsid w:val="003E2272"/>
    <w:rsid w:val="003E3A01"/>
    <w:rsid w:val="003E479F"/>
    <w:rsid w:val="003E4935"/>
    <w:rsid w:val="003E58B3"/>
    <w:rsid w:val="003E6715"/>
    <w:rsid w:val="003E74CA"/>
    <w:rsid w:val="003E7838"/>
    <w:rsid w:val="003E7A5A"/>
    <w:rsid w:val="003E7A83"/>
    <w:rsid w:val="003E7B77"/>
    <w:rsid w:val="003F0EEA"/>
    <w:rsid w:val="003F203F"/>
    <w:rsid w:val="003F28FA"/>
    <w:rsid w:val="003F298C"/>
    <w:rsid w:val="003F2D6F"/>
    <w:rsid w:val="003F2F80"/>
    <w:rsid w:val="003F34BC"/>
    <w:rsid w:val="003F3941"/>
    <w:rsid w:val="003F3996"/>
    <w:rsid w:val="003F46D5"/>
    <w:rsid w:val="003F49D3"/>
    <w:rsid w:val="003F4BA7"/>
    <w:rsid w:val="003F4BB9"/>
    <w:rsid w:val="003F5332"/>
    <w:rsid w:val="003F59D6"/>
    <w:rsid w:val="003F5F0D"/>
    <w:rsid w:val="003F5F11"/>
    <w:rsid w:val="003F6202"/>
    <w:rsid w:val="003F6A7C"/>
    <w:rsid w:val="003F6D25"/>
    <w:rsid w:val="003F6EB8"/>
    <w:rsid w:val="00400109"/>
    <w:rsid w:val="0040139F"/>
    <w:rsid w:val="00401D14"/>
    <w:rsid w:val="004022C3"/>
    <w:rsid w:val="0040257C"/>
    <w:rsid w:val="00402A88"/>
    <w:rsid w:val="00402C23"/>
    <w:rsid w:val="00403DDF"/>
    <w:rsid w:val="004046B2"/>
    <w:rsid w:val="00404716"/>
    <w:rsid w:val="00404B10"/>
    <w:rsid w:val="00405913"/>
    <w:rsid w:val="00405981"/>
    <w:rsid w:val="00406DD5"/>
    <w:rsid w:val="00407070"/>
    <w:rsid w:val="00407256"/>
    <w:rsid w:val="00407779"/>
    <w:rsid w:val="00407CAA"/>
    <w:rsid w:val="00407F30"/>
    <w:rsid w:val="00410360"/>
    <w:rsid w:val="0041116D"/>
    <w:rsid w:val="004116F1"/>
    <w:rsid w:val="004119FD"/>
    <w:rsid w:val="00411D33"/>
    <w:rsid w:val="004124B0"/>
    <w:rsid w:val="00412504"/>
    <w:rsid w:val="00412711"/>
    <w:rsid w:val="004127D9"/>
    <w:rsid w:val="00412A1F"/>
    <w:rsid w:val="00412ACA"/>
    <w:rsid w:val="004144D3"/>
    <w:rsid w:val="00414A0F"/>
    <w:rsid w:val="00415C6F"/>
    <w:rsid w:val="00416443"/>
    <w:rsid w:val="00416532"/>
    <w:rsid w:val="00416B31"/>
    <w:rsid w:val="004170C9"/>
    <w:rsid w:val="00417B22"/>
    <w:rsid w:val="00417D50"/>
    <w:rsid w:val="00420634"/>
    <w:rsid w:val="00420C4D"/>
    <w:rsid w:val="00420FAA"/>
    <w:rsid w:val="00421BE0"/>
    <w:rsid w:val="00421D1B"/>
    <w:rsid w:val="00421E6E"/>
    <w:rsid w:val="00422EAB"/>
    <w:rsid w:val="00423064"/>
    <w:rsid w:val="0042329D"/>
    <w:rsid w:val="00423C87"/>
    <w:rsid w:val="00424FF6"/>
    <w:rsid w:val="0042542D"/>
    <w:rsid w:val="004268C5"/>
    <w:rsid w:val="00427354"/>
    <w:rsid w:val="00427AF1"/>
    <w:rsid w:val="00427EC9"/>
    <w:rsid w:val="00427F00"/>
    <w:rsid w:val="004303DD"/>
    <w:rsid w:val="00430D14"/>
    <w:rsid w:val="0043114D"/>
    <w:rsid w:val="004312D6"/>
    <w:rsid w:val="00432913"/>
    <w:rsid w:val="0043344B"/>
    <w:rsid w:val="00436161"/>
    <w:rsid w:val="0043616C"/>
    <w:rsid w:val="00436ED4"/>
    <w:rsid w:val="00437489"/>
    <w:rsid w:val="0043760E"/>
    <w:rsid w:val="0043797D"/>
    <w:rsid w:val="0044022A"/>
    <w:rsid w:val="0044038D"/>
    <w:rsid w:val="004404C2"/>
    <w:rsid w:val="00440EB2"/>
    <w:rsid w:val="00441142"/>
    <w:rsid w:val="0044120B"/>
    <w:rsid w:val="00441668"/>
    <w:rsid w:val="00442554"/>
    <w:rsid w:val="0044273E"/>
    <w:rsid w:val="00442AE9"/>
    <w:rsid w:val="00442D05"/>
    <w:rsid w:val="00445C78"/>
    <w:rsid w:val="004468F2"/>
    <w:rsid w:val="00446C49"/>
    <w:rsid w:val="00446F67"/>
    <w:rsid w:val="0045158E"/>
    <w:rsid w:val="004523EC"/>
    <w:rsid w:val="00453F01"/>
    <w:rsid w:val="004554DF"/>
    <w:rsid w:val="00456A0B"/>
    <w:rsid w:val="00456C2A"/>
    <w:rsid w:val="00456C94"/>
    <w:rsid w:val="00456D5C"/>
    <w:rsid w:val="00457885"/>
    <w:rsid w:val="00457962"/>
    <w:rsid w:val="00457FD1"/>
    <w:rsid w:val="0046051C"/>
    <w:rsid w:val="00460F09"/>
    <w:rsid w:val="00460FA0"/>
    <w:rsid w:val="004618A6"/>
    <w:rsid w:val="00462154"/>
    <w:rsid w:val="00462B10"/>
    <w:rsid w:val="00462D4E"/>
    <w:rsid w:val="00463CE9"/>
    <w:rsid w:val="00463ED1"/>
    <w:rsid w:val="00463FC4"/>
    <w:rsid w:val="00463FCE"/>
    <w:rsid w:val="00464308"/>
    <w:rsid w:val="00464AD8"/>
    <w:rsid w:val="00464C36"/>
    <w:rsid w:val="00464FB6"/>
    <w:rsid w:val="0046568B"/>
    <w:rsid w:val="004663E8"/>
    <w:rsid w:val="004664A4"/>
    <w:rsid w:val="00466D86"/>
    <w:rsid w:val="00466FDB"/>
    <w:rsid w:val="00470488"/>
    <w:rsid w:val="00470B1E"/>
    <w:rsid w:val="00470F04"/>
    <w:rsid w:val="004715B6"/>
    <w:rsid w:val="004722C3"/>
    <w:rsid w:val="00472E17"/>
    <w:rsid w:val="00473382"/>
    <w:rsid w:val="00473625"/>
    <w:rsid w:val="00474409"/>
    <w:rsid w:val="00474F96"/>
    <w:rsid w:val="004750FE"/>
    <w:rsid w:val="0047518A"/>
    <w:rsid w:val="004751DC"/>
    <w:rsid w:val="00475F32"/>
    <w:rsid w:val="0047731C"/>
    <w:rsid w:val="00477B5F"/>
    <w:rsid w:val="00477C40"/>
    <w:rsid w:val="004808CB"/>
    <w:rsid w:val="00480A9A"/>
    <w:rsid w:val="00480EA2"/>
    <w:rsid w:val="00481BD1"/>
    <w:rsid w:val="00482E3C"/>
    <w:rsid w:val="00484616"/>
    <w:rsid w:val="00484855"/>
    <w:rsid w:val="004849EA"/>
    <w:rsid w:val="00484FC0"/>
    <w:rsid w:val="004853B2"/>
    <w:rsid w:val="00485A9F"/>
    <w:rsid w:val="00485AA8"/>
    <w:rsid w:val="00485DB0"/>
    <w:rsid w:val="00485F70"/>
    <w:rsid w:val="00486CFA"/>
    <w:rsid w:val="00487592"/>
    <w:rsid w:val="004876AD"/>
    <w:rsid w:val="0048775C"/>
    <w:rsid w:val="004878B2"/>
    <w:rsid w:val="004878CC"/>
    <w:rsid w:val="004901B3"/>
    <w:rsid w:val="00490D8B"/>
    <w:rsid w:val="0049119D"/>
    <w:rsid w:val="00491C54"/>
    <w:rsid w:val="0049278C"/>
    <w:rsid w:val="0049302E"/>
    <w:rsid w:val="00493789"/>
    <w:rsid w:val="00493C3A"/>
    <w:rsid w:val="0049425B"/>
    <w:rsid w:val="004948FF"/>
    <w:rsid w:val="00495179"/>
    <w:rsid w:val="00495B88"/>
    <w:rsid w:val="00495E11"/>
    <w:rsid w:val="004969E6"/>
    <w:rsid w:val="00496C6A"/>
    <w:rsid w:val="004970F7"/>
    <w:rsid w:val="00497695"/>
    <w:rsid w:val="004A017B"/>
    <w:rsid w:val="004A040D"/>
    <w:rsid w:val="004A13D4"/>
    <w:rsid w:val="004A17B2"/>
    <w:rsid w:val="004A1D21"/>
    <w:rsid w:val="004A2835"/>
    <w:rsid w:val="004A3815"/>
    <w:rsid w:val="004A40DE"/>
    <w:rsid w:val="004A414B"/>
    <w:rsid w:val="004A55E0"/>
    <w:rsid w:val="004A5BEE"/>
    <w:rsid w:val="004A648C"/>
    <w:rsid w:val="004A77DD"/>
    <w:rsid w:val="004B055A"/>
    <w:rsid w:val="004B1A04"/>
    <w:rsid w:val="004B36EE"/>
    <w:rsid w:val="004B3BE4"/>
    <w:rsid w:val="004B4029"/>
    <w:rsid w:val="004B442E"/>
    <w:rsid w:val="004B476B"/>
    <w:rsid w:val="004B5E5C"/>
    <w:rsid w:val="004B6098"/>
    <w:rsid w:val="004B61DD"/>
    <w:rsid w:val="004B671A"/>
    <w:rsid w:val="004B6AEB"/>
    <w:rsid w:val="004B6B9D"/>
    <w:rsid w:val="004B6BE5"/>
    <w:rsid w:val="004B7011"/>
    <w:rsid w:val="004B7197"/>
    <w:rsid w:val="004B785F"/>
    <w:rsid w:val="004B7F55"/>
    <w:rsid w:val="004C0007"/>
    <w:rsid w:val="004C0025"/>
    <w:rsid w:val="004C0664"/>
    <w:rsid w:val="004C0E24"/>
    <w:rsid w:val="004C10F9"/>
    <w:rsid w:val="004C1507"/>
    <w:rsid w:val="004C23F8"/>
    <w:rsid w:val="004C3174"/>
    <w:rsid w:val="004C3FAC"/>
    <w:rsid w:val="004C48C3"/>
    <w:rsid w:val="004C4F04"/>
    <w:rsid w:val="004C5623"/>
    <w:rsid w:val="004C6772"/>
    <w:rsid w:val="004C6951"/>
    <w:rsid w:val="004C6D0C"/>
    <w:rsid w:val="004C75C0"/>
    <w:rsid w:val="004C7DCB"/>
    <w:rsid w:val="004D07DA"/>
    <w:rsid w:val="004D0BAD"/>
    <w:rsid w:val="004D112E"/>
    <w:rsid w:val="004D1725"/>
    <w:rsid w:val="004D183F"/>
    <w:rsid w:val="004D1EBE"/>
    <w:rsid w:val="004D2216"/>
    <w:rsid w:val="004D2220"/>
    <w:rsid w:val="004D2418"/>
    <w:rsid w:val="004D26EA"/>
    <w:rsid w:val="004D283C"/>
    <w:rsid w:val="004D3549"/>
    <w:rsid w:val="004D3BF5"/>
    <w:rsid w:val="004D3EC6"/>
    <w:rsid w:val="004D4555"/>
    <w:rsid w:val="004D4A88"/>
    <w:rsid w:val="004D500E"/>
    <w:rsid w:val="004D55B4"/>
    <w:rsid w:val="004D6059"/>
    <w:rsid w:val="004D62D1"/>
    <w:rsid w:val="004D664B"/>
    <w:rsid w:val="004D6CA0"/>
    <w:rsid w:val="004D747C"/>
    <w:rsid w:val="004D7AC4"/>
    <w:rsid w:val="004E0C3E"/>
    <w:rsid w:val="004E14CB"/>
    <w:rsid w:val="004E23F4"/>
    <w:rsid w:val="004E2679"/>
    <w:rsid w:val="004E2756"/>
    <w:rsid w:val="004E308A"/>
    <w:rsid w:val="004E50A2"/>
    <w:rsid w:val="004E59A1"/>
    <w:rsid w:val="004E5CC9"/>
    <w:rsid w:val="004E6747"/>
    <w:rsid w:val="004E71CF"/>
    <w:rsid w:val="004F098D"/>
    <w:rsid w:val="004F0CBA"/>
    <w:rsid w:val="004F18C5"/>
    <w:rsid w:val="004F2459"/>
    <w:rsid w:val="004F2580"/>
    <w:rsid w:val="004F2E10"/>
    <w:rsid w:val="004F31EC"/>
    <w:rsid w:val="004F36B2"/>
    <w:rsid w:val="004F3A13"/>
    <w:rsid w:val="004F3AC8"/>
    <w:rsid w:val="004F3B59"/>
    <w:rsid w:val="004F52B9"/>
    <w:rsid w:val="004F5406"/>
    <w:rsid w:val="004F5409"/>
    <w:rsid w:val="004F5B18"/>
    <w:rsid w:val="004F5C45"/>
    <w:rsid w:val="004F5D31"/>
    <w:rsid w:val="004F5E79"/>
    <w:rsid w:val="004F65D5"/>
    <w:rsid w:val="004F6B5A"/>
    <w:rsid w:val="004F72B1"/>
    <w:rsid w:val="004F7B37"/>
    <w:rsid w:val="004F7CEF"/>
    <w:rsid w:val="00500977"/>
    <w:rsid w:val="00500EA9"/>
    <w:rsid w:val="00500F06"/>
    <w:rsid w:val="0050103A"/>
    <w:rsid w:val="0050212B"/>
    <w:rsid w:val="00502A33"/>
    <w:rsid w:val="005035E8"/>
    <w:rsid w:val="00503F07"/>
    <w:rsid w:val="00505CD1"/>
    <w:rsid w:val="0050614B"/>
    <w:rsid w:val="0050775D"/>
    <w:rsid w:val="005103ED"/>
    <w:rsid w:val="0051076B"/>
    <w:rsid w:val="00510896"/>
    <w:rsid w:val="00510AAD"/>
    <w:rsid w:val="00511E17"/>
    <w:rsid w:val="005136D4"/>
    <w:rsid w:val="00513989"/>
    <w:rsid w:val="00513A09"/>
    <w:rsid w:val="00515464"/>
    <w:rsid w:val="005162B4"/>
    <w:rsid w:val="00516B68"/>
    <w:rsid w:val="00516CA6"/>
    <w:rsid w:val="00516F8C"/>
    <w:rsid w:val="00517A5F"/>
    <w:rsid w:val="00517ADD"/>
    <w:rsid w:val="00517DCF"/>
    <w:rsid w:val="005207A8"/>
    <w:rsid w:val="00520901"/>
    <w:rsid w:val="00520ABB"/>
    <w:rsid w:val="0052235C"/>
    <w:rsid w:val="00523301"/>
    <w:rsid w:val="005236D4"/>
    <w:rsid w:val="005245D5"/>
    <w:rsid w:val="00525220"/>
    <w:rsid w:val="00525518"/>
    <w:rsid w:val="0052653C"/>
    <w:rsid w:val="00526B00"/>
    <w:rsid w:val="0052737D"/>
    <w:rsid w:val="0052771F"/>
    <w:rsid w:val="0053016C"/>
    <w:rsid w:val="00530954"/>
    <w:rsid w:val="0053167D"/>
    <w:rsid w:val="00531ADC"/>
    <w:rsid w:val="00531E15"/>
    <w:rsid w:val="0053263B"/>
    <w:rsid w:val="00533E1D"/>
    <w:rsid w:val="005343F3"/>
    <w:rsid w:val="00534A55"/>
    <w:rsid w:val="00534DAB"/>
    <w:rsid w:val="00535027"/>
    <w:rsid w:val="00535366"/>
    <w:rsid w:val="00535625"/>
    <w:rsid w:val="00535B00"/>
    <w:rsid w:val="005363DB"/>
    <w:rsid w:val="00537543"/>
    <w:rsid w:val="0053772D"/>
    <w:rsid w:val="00537DD0"/>
    <w:rsid w:val="0054008D"/>
    <w:rsid w:val="0054286C"/>
    <w:rsid w:val="00542DBE"/>
    <w:rsid w:val="0054326E"/>
    <w:rsid w:val="0054357F"/>
    <w:rsid w:val="00544323"/>
    <w:rsid w:val="00544B81"/>
    <w:rsid w:val="00544BD4"/>
    <w:rsid w:val="0054509E"/>
    <w:rsid w:val="0054633A"/>
    <w:rsid w:val="005464D0"/>
    <w:rsid w:val="00546AA7"/>
    <w:rsid w:val="00546ACC"/>
    <w:rsid w:val="005475BB"/>
    <w:rsid w:val="005507DB"/>
    <w:rsid w:val="00550D92"/>
    <w:rsid w:val="00551236"/>
    <w:rsid w:val="00551366"/>
    <w:rsid w:val="00552339"/>
    <w:rsid w:val="00552882"/>
    <w:rsid w:val="005529E6"/>
    <w:rsid w:val="00552C85"/>
    <w:rsid w:val="005530E0"/>
    <w:rsid w:val="005531A7"/>
    <w:rsid w:val="00554E22"/>
    <w:rsid w:val="0055563B"/>
    <w:rsid w:val="00555CAB"/>
    <w:rsid w:val="0055663B"/>
    <w:rsid w:val="0055693C"/>
    <w:rsid w:val="00557628"/>
    <w:rsid w:val="00557A11"/>
    <w:rsid w:val="00557DFA"/>
    <w:rsid w:val="00560F10"/>
    <w:rsid w:val="00560F5A"/>
    <w:rsid w:val="00561DEE"/>
    <w:rsid w:val="0056205E"/>
    <w:rsid w:val="0056208C"/>
    <w:rsid w:val="00562134"/>
    <w:rsid w:val="00562D15"/>
    <w:rsid w:val="00563D00"/>
    <w:rsid w:val="00565A55"/>
    <w:rsid w:val="00565E0D"/>
    <w:rsid w:val="005664B3"/>
    <w:rsid w:val="005665CB"/>
    <w:rsid w:val="00567614"/>
    <w:rsid w:val="00567723"/>
    <w:rsid w:val="00567816"/>
    <w:rsid w:val="00567A9D"/>
    <w:rsid w:val="00567E96"/>
    <w:rsid w:val="0057095F"/>
    <w:rsid w:val="00571F43"/>
    <w:rsid w:val="00572318"/>
    <w:rsid w:val="00572692"/>
    <w:rsid w:val="00572744"/>
    <w:rsid w:val="0057283C"/>
    <w:rsid w:val="00573315"/>
    <w:rsid w:val="00573482"/>
    <w:rsid w:val="0057371B"/>
    <w:rsid w:val="0057481D"/>
    <w:rsid w:val="005749B6"/>
    <w:rsid w:val="0057515F"/>
    <w:rsid w:val="0057577A"/>
    <w:rsid w:val="00575A2C"/>
    <w:rsid w:val="00575B29"/>
    <w:rsid w:val="0057652D"/>
    <w:rsid w:val="00576BC3"/>
    <w:rsid w:val="005815FB"/>
    <w:rsid w:val="005823FC"/>
    <w:rsid w:val="005828F2"/>
    <w:rsid w:val="00582FB6"/>
    <w:rsid w:val="005835A9"/>
    <w:rsid w:val="0058585F"/>
    <w:rsid w:val="00585E1B"/>
    <w:rsid w:val="00585E35"/>
    <w:rsid w:val="00585E7A"/>
    <w:rsid w:val="005861E4"/>
    <w:rsid w:val="0058637A"/>
    <w:rsid w:val="005868A8"/>
    <w:rsid w:val="00586FD3"/>
    <w:rsid w:val="005904A1"/>
    <w:rsid w:val="00590A96"/>
    <w:rsid w:val="00591197"/>
    <w:rsid w:val="00591906"/>
    <w:rsid w:val="00591A54"/>
    <w:rsid w:val="0059279D"/>
    <w:rsid w:val="0059331E"/>
    <w:rsid w:val="00593EE4"/>
    <w:rsid w:val="00594A8A"/>
    <w:rsid w:val="00594B73"/>
    <w:rsid w:val="005957B0"/>
    <w:rsid w:val="00595BF3"/>
    <w:rsid w:val="005961EF"/>
    <w:rsid w:val="005966EE"/>
    <w:rsid w:val="00596CA9"/>
    <w:rsid w:val="005A013D"/>
    <w:rsid w:val="005A0778"/>
    <w:rsid w:val="005A077E"/>
    <w:rsid w:val="005A1632"/>
    <w:rsid w:val="005A1930"/>
    <w:rsid w:val="005A1F1E"/>
    <w:rsid w:val="005A34DA"/>
    <w:rsid w:val="005A3645"/>
    <w:rsid w:val="005A3725"/>
    <w:rsid w:val="005A4510"/>
    <w:rsid w:val="005A4ADE"/>
    <w:rsid w:val="005A6765"/>
    <w:rsid w:val="005A7F64"/>
    <w:rsid w:val="005B0636"/>
    <w:rsid w:val="005B0FAB"/>
    <w:rsid w:val="005B1524"/>
    <w:rsid w:val="005B15AD"/>
    <w:rsid w:val="005B1C0C"/>
    <w:rsid w:val="005B1EAA"/>
    <w:rsid w:val="005B249D"/>
    <w:rsid w:val="005B36A4"/>
    <w:rsid w:val="005B37BB"/>
    <w:rsid w:val="005B4007"/>
    <w:rsid w:val="005B4BF1"/>
    <w:rsid w:val="005B4C1C"/>
    <w:rsid w:val="005B4FB2"/>
    <w:rsid w:val="005B53C1"/>
    <w:rsid w:val="005B59D1"/>
    <w:rsid w:val="005B5D04"/>
    <w:rsid w:val="005B6654"/>
    <w:rsid w:val="005C080B"/>
    <w:rsid w:val="005C0BA0"/>
    <w:rsid w:val="005C0E4F"/>
    <w:rsid w:val="005C1988"/>
    <w:rsid w:val="005C2877"/>
    <w:rsid w:val="005C288B"/>
    <w:rsid w:val="005C2EB4"/>
    <w:rsid w:val="005C3913"/>
    <w:rsid w:val="005C3943"/>
    <w:rsid w:val="005C3A37"/>
    <w:rsid w:val="005C4077"/>
    <w:rsid w:val="005C4A44"/>
    <w:rsid w:val="005C4FBA"/>
    <w:rsid w:val="005C54E3"/>
    <w:rsid w:val="005C595A"/>
    <w:rsid w:val="005C5D29"/>
    <w:rsid w:val="005C7335"/>
    <w:rsid w:val="005C75C8"/>
    <w:rsid w:val="005D02FA"/>
    <w:rsid w:val="005D1240"/>
    <w:rsid w:val="005D20B1"/>
    <w:rsid w:val="005D2CAC"/>
    <w:rsid w:val="005D301B"/>
    <w:rsid w:val="005D3314"/>
    <w:rsid w:val="005D3A3A"/>
    <w:rsid w:val="005D3FF2"/>
    <w:rsid w:val="005D4054"/>
    <w:rsid w:val="005D50E4"/>
    <w:rsid w:val="005D5D97"/>
    <w:rsid w:val="005D5E16"/>
    <w:rsid w:val="005D62D8"/>
    <w:rsid w:val="005D71EA"/>
    <w:rsid w:val="005D7D3E"/>
    <w:rsid w:val="005E01FD"/>
    <w:rsid w:val="005E0B76"/>
    <w:rsid w:val="005E14BF"/>
    <w:rsid w:val="005E1532"/>
    <w:rsid w:val="005E1694"/>
    <w:rsid w:val="005E18F7"/>
    <w:rsid w:val="005E19B1"/>
    <w:rsid w:val="005E1C1F"/>
    <w:rsid w:val="005E3B3D"/>
    <w:rsid w:val="005E3E8F"/>
    <w:rsid w:val="005E3F11"/>
    <w:rsid w:val="005E475B"/>
    <w:rsid w:val="005E4ED5"/>
    <w:rsid w:val="005E53E0"/>
    <w:rsid w:val="005E549A"/>
    <w:rsid w:val="005E5B8D"/>
    <w:rsid w:val="005E5F5B"/>
    <w:rsid w:val="005E619E"/>
    <w:rsid w:val="005F076E"/>
    <w:rsid w:val="005F07B7"/>
    <w:rsid w:val="005F084D"/>
    <w:rsid w:val="005F0D09"/>
    <w:rsid w:val="005F1133"/>
    <w:rsid w:val="005F1AC5"/>
    <w:rsid w:val="005F1D92"/>
    <w:rsid w:val="005F2143"/>
    <w:rsid w:val="005F311C"/>
    <w:rsid w:val="005F3265"/>
    <w:rsid w:val="005F4798"/>
    <w:rsid w:val="005F48AE"/>
    <w:rsid w:val="005F4AC4"/>
    <w:rsid w:val="005F4ED0"/>
    <w:rsid w:val="005F5075"/>
    <w:rsid w:val="005F5EC1"/>
    <w:rsid w:val="005F5F6D"/>
    <w:rsid w:val="005F70B0"/>
    <w:rsid w:val="005F7E24"/>
    <w:rsid w:val="0060092B"/>
    <w:rsid w:val="00600B9D"/>
    <w:rsid w:val="00600FDC"/>
    <w:rsid w:val="0060230D"/>
    <w:rsid w:val="00602323"/>
    <w:rsid w:val="00603548"/>
    <w:rsid w:val="006044FF"/>
    <w:rsid w:val="00604D7F"/>
    <w:rsid w:val="006055C3"/>
    <w:rsid w:val="00605765"/>
    <w:rsid w:val="0060576D"/>
    <w:rsid w:val="0060578A"/>
    <w:rsid w:val="0060685D"/>
    <w:rsid w:val="006075B1"/>
    <w:rsid w:val="00607D51"/>
    <w:rsid w:val="006112E6"/>
    <w:rsid w:val="0061261B"/>
    <w:rsid w:val="00613BB2"/>
    <w:rsid w:val="00614164"/>
    <w:rsid w:val="00616288"/>
    <w:rsid w:val="00616D59"/>
    <w:rsid w:val="00617CAD"/>
    <w:rsid w:val="00617E3D"/>
    <w:rsid w:val="00620F55"/>
    <w:rsid w:val="00621F7E"/>
    <w:rsid w:val="00622FEE"/>
    <w:rsid w:val="006232CB"/>
    <w:rsid w:val="00624601"/>
    <w:rsid w:val="00624A76"/>
    <w:rsid w:val="00624C47"/>
    <w:rsid w:val="00625907"/>
    <w:rsid w:val="006259DE"/>
    <w:rsid w:val="006261C8"/>
    <w:rsid w:val="006270EF"/>
    <w:rsid w:val="00627D8B"/>
    <w:rsid w:val="0063021C"/>
    <w:rsid w:val="00630C63"/>
    <w:rsid w:val="0063133F"/>
    <w:rsid w:val="00631AA6"/>
    <w:rsid w:val="00632A9A"/>
    <w:rsid w:val="00632B35"/>
    <w:rsid w:val="00633596"/>
    <w:rsid w:val="006349D6"/>
    <w:rsid w:val="00634FE1"/>
    <w:rsid w:val="00635176"/>
    <w:rsid w:val="00635485"/>
    <w:rsid w:val="006358C1"/>
    <w:rsid w:val="00636C9C"/>
    <w:rsid w:val="0063760A"/>
    <w:rsid w:val="0063771B"/>
    <w:rsid w:val="00640415"/>
    <w:rsid w:val="00640DC9"/>
    <w:rsid w:val="006410FE"/>
    <w:rsid w:val="00641DAC"/>
    <w:rsid w:val="0064275C"/>
    <w:rsid w:val="00642BEA"/>
    <w:rsid w:val="00642CF9"/>
    <w:rsid w:val="006433FC"/>
    <w:rsid w:val="0064376E"/>
    <w:rsid w:val="006439F0"/>
    <w:rsid w:val="00644395"/>
    <w:rsid w:val="00644511"/>
    <w:rsid w:val="00644979"/>
    <w:rsid w:val="00644C97"/>
    <w:rsid w:val="006458C8"/>
    <w:rsid w:val="00646A4B"/>
    <w:rsid w:val="0064714B"/>
    <w:rsid w:val="00647871"/>
    <w:rsid w:val="006506B3"/>
    <w:rsid w:val="00652E0B"/>
    <w:rsid w:val="0065376D"/>
    <w:rsid w:val="00653C6D"/>
    <w:rsid w:val="00654588"/>
    <w:rsid w:val="0065470F"/>
    <w:rsid w:val="006549CF"/>
    <w:rsid w:val="0065551F"/>
    <w:rsid w:val="006558F4"/>
    <w:rsid w:val="00656037"/>
    <w:rsid w:val="00656ACE"/>
    <w:rsid w:val="00656EF6"/>
    <w:rsid w:val="00657210"/>
    <w:rsid w:val="00657495"/>
    <w:rsid w:val="00657D2D"/>
    <w:rsid w:val="0066032D"/>
    <w:rsid w:val="006606CC"/>
    <w:rsid w:val="00660B59"/>
    <w:rsid w:val="00662217"/>
    <w:rsid w:val="00662226"/>
    <w:rsid w:val="006630D7"/>
    <w:rsid w:val="00663F6E"/>
    <w:rsid w:val="006640E3"/>
    <w:rsid w:val="00664304"/>
    <w:rsid w:val="0066432D"/>
    <w:rsid w:val="00664552"/>
    <w:rsid w:val="006646FA"/>
    <w:rsid w:val="00664ECA"/>
    <w:rsid w:val="00665569"/>
    <w:rsid w:val="006663E6"/>
    <w:rsid w:val="006666AC"/>
    <w:rsid w:val="0066672D"/>
    <w:rsid w:val="00666782"/>
    <w:rsid w:val="00666A92"/>
    <w:rsid w:val="00667CFE"/>
    <w:rsid w:val="00667DF9"/>
    <w:rsid w:val="006720CE"/>
    <w:rsid w:val="00673759"/>
    <w:rsid w:val="00674AB9"/>
    <w:rsid w:val="00674AC7"/>
    <w:rsid w:val="00674CD6"/>
    <w:rsid w:val="006753EC"/>
    <w:rsid w:val="0067600E"/>
    <w:rsid w:val="00676049"/>
    <w:rsid w:val="00676372"/>
    <w:rsid w:val="006773D9"/>
    <w:rsid w:val="00677EF2"/>
    <w:rsid w:val="0068000D"/>
    <w:rsid w:val="006814E7"/>
    <w:rsid w:val="0068161C"/>
    <w:rsid w:val="00681680"/>
    <w:rsid w:val="00681785"/>
    <w:rsid w:val="00681FAD"/>
    <w:rsid w:val="00682468"/>
    <w:rsid w:val="00682E21"/>
    <w:rsid w:val="00683C23"/>
    <w:rsid w:val="0068540E"/>
    <w:rsid w:val="00685C80"/>
    <w:rsid w:val="00685CA3"/>
    <w:rsid w:val="00686221"/>
    <w:rsid w:val="00686EBC"/>
    <w:rsid w:val="006871A3"/>
    <w:rsid w:val="006874E1"/>
    <w:rsid w:val="00690532"/>
    <w:rsid w:val="00690CD5"/>
    <w:rsid w:val="00690D80"/>
    <w:rsid w:val="006914A8"/>
    <w:rsid w:val="00692384"/>
    <w:rsid w:val="00692413"/>
    <w:rsid w:val="00692539"/>
    <w:rsid w:val="00692A06"/>
    <w:rsid w:val="006936B8"/>
    <w:rsid w:val="006942B4"/>
    <w:rsid w:val="00695061"/>
    <w:rsid w:val="00696AD6"/>
    <w:rsid w:val="00696B83"/>
    <w:rsid w:val="00696D27"/>
    <w:rsid w:val="00697C61"/>
    <w:rsid w:val="00697F63"/>
    <w:rsid w:val="006A0298"/>
    <w:rsid w:val="006A06E3"/>
    <w:rsid w:val="006A0863"/>
    <w:rsid w:val="006A0869"/>
    <w:rsid w:val="006A0DF5"/>
    <w:rsid w:val="006A109B"/>
    <w:rsid w:val="006A170F"/>
    <w:rsid w:val="006A1955"/>
    <w:rsid w:val="006A1BA6"/>
    <w:rsid w:val="006A3F81"/>
    <w:rsid w:val="006A468E"/>
    <w:rsid w:val="006A4A34"/>
    <w:rsid w:val="006A5428"/>
    <w:rsid w:val="006A56DD"/>
    <w:rsid w:val="006A5909"/>
    <w:rsid w:val="006A5BD9"/>
    <w:rsid w:val="006A6A80"/>
    <w:rsid w:val="006A77AD"/>
    <w:rsid w:val="006A7BF6"/>
    <w:rsid w:val="006B09FA"/>
    <w:rsid w:val="006B0ED4"/>
    <w:rsid w:val="006B10B5"/>
    <w:rsid w:val="006B1172"/>
    <w:rsid w:val="006B2A6C"/>
    <w:rsid w:val="006B3093"/>
    <w:rsid w:val="006B3100"/>
    <w:rsid w:val="006B3523"/>
    <w:rsid w:val="006B3EDB"/>
    <w:rsid w:val="006B4F1C"/>
    <w:rsid w:val="006B508E"/>
    <w:rsid w:val="006B5C01"/>
    <w:rsid w:val="006B66B1"/>
    <w:rsid w:val="006B6CCE"/>
    <w:rsid w:val="006B70AB"/>
    <w:rsid w:val="006C0D57"/>
    <w:rsid w:val="006C0FC7"/>
    <w:rsid w:val="006C3E51"/>
    <w:rsid w:val="006C4ED7"/>
    <w:rsid w:val="006C54D3"/>
    <w:rsid w:val="006C58BF"/>
    <w:rsid w:val="006C6C41"/>
    <w:rsid w:val="006C6E5A"/>
    <w:rsid w:val="006C6E9C"/>
    <w:rsid w:val="006C6F77"/>
    <w:rsid w:val="006C762A"/>
    <w:rsid w:val="006C7CB9"/>
    <w:rsid w:val="006C7F18"/>
    <w:rsid w:val="006D08EE"/>
    <w:rsid w:val="006D0FD8"/>
    <w:rsid w:val="006D1579"/>
    <w:rsid w:val="006D1675"/>
    <w:rsid w:val="006D169C"/>
    <w:rsid w:val="006D1F3D"/>
    <w:rsid w:val="006D2AB9"/>
    <w:rsid w:val="006D32C2"/>
    <w:rsid w:val="006D3450"/>
    <w:rsid w:val="006D34F2"/>
    <w:rsid w:val="006D36E2"/>
    <w:rsid w:val="006D3769"/>
    <w:rsid w:val="006D468A"/>
    <w:rsid w:val="006D4C54"/>
    <w:rsid w:val="006D4CCB"/>
    <w:rsid w:val="006D5069"/>
    <w:rsid w:val="006D5A9A"/>
    <w:rsid w:val="006D72AD"/>
    <w:rsid w:val="006D7FF9"/>
    <w:rsid w:val="006E0037"/>
    <w:rsid w:val="006E0545"/>
    <w:rsid w:val="006E1E4E"/>
    <w:rsid w:val="006E2815"/>
    <w:rsid w:val="006E3D9B"/>
    <w:rsid w:val="006E40EE"/>
    <w:rsid w:val="006E43E5"/>
    <w:rsid w:val="006E485C"/>
    <w:rsid w:val="006E4B12"/>
    <w:rsid w:val="006E534F"/>
    <w:rsid w:val="006E6802"/>
    <w:rsid w:val="006E74FE"/>
    <w:rsid w:val="006F0C66"/>
    <w:rsid w:val="006F0FCD"/>
    <w:rsid w:val="006F248A"/>
    <w:rsid w:val="006F28C3"/>
    <w:rsid w:val="006F4350"/>
    <w:rsid w:val="006F4665"/>
    <w:rsid w:val="006F4E3E"/>
    <w:rsid w:val="006F507E"/>
    <w:rsid w:val="006F563D"/>
    <w:rsid w:val="006F5694"/>
    <w:rsid w:val="006F6D8E"/>
    <w:rsid w:val="006F6F4C"/>
    <w:rsid w:val="006F7174"/>
    <w:rsid w:val="006F774C"/>
    <w:rsid w:val="007009E0"/>
    <w:rsid w:val="00700EBF"/>
    <w:rsid w:val="00701B06"/>
    <w:rsid w:val="00701D58"/>
    <w:rsid w:val="0070247A"/>
    <w:rsid w:val="00702960"/>
    <w:rsid w:val="00702FBC"/>
    <w:rsid w:val="00703139"/>
    <w:rsid w:val="007033FB"/>
    <w:rsid w:val="00703F13"/>
    <w:rsid w:val="00705627"/>
    <w:rsid w:val="00705929"/>
    <w:rsid w:val="007060AA"/>
    <w:rsid w:val="007061C4"/>
    <w:rsid w:val="00706212"/>
    <w:rsid w:val="007065C9"/>
    <w:rsid w:val="007073E9"/>
    <w:rsid w:val="00707B52"/>
    <w:rsid w:val="00711205"/>
    <w:rsid w:val="00711241"/>
    <w:rsid w:val="00711CDF"/>
    <w:rsid w:val="00712D85"/>
    <w:rsid w:val="007138DD"/>
    <w:rsid w:val="007139AF"/>
    <w:rsid w:val="00713D08"/>
    <w:rsid w:val="00714E0A"/>
    <w:rsid w:val="00716303"/>
    <w:rsid w:val="0071634B"/>
    <w:rsid w:val="007166CA"/>
    <w:rsid w:val="00716A09"/>
    <w:rsid w:val="00716AFB"/>
    <w:rsid w:val="007177F4"/>
    <w:rsid w:val="00717AA3"/>
    <w:rsid w:val="00717F52"/>
    <w:rsid w:val="00720579"/>
    <w:rsid w:val="00720B66"/>
    <w:rsid w:val="00720C0E"/>
    <w:rsid w:val="00720F12"/>
    <w:rsid w:val="007210C5"/>
    <w:rsid w:val="00721103"/>
    <w:rsid w:val="00722313"/>
    <w:rsid w:val="00722642"/>
    <w:rsid w:val="00722DE5"/>
    <w:rsid w:val="00723366"/>
    <w:rsid w:val="007234DD"/>
    <w:rsid w:val="00723C93"/>
    <w:rsid w:val="00723DF0"/>
    <w:rsid w:val="00724062"/>
    <w:rsid w:val="007242A4"/>
    <w:rsid w:val="00725057"/>
    <w:rsid w:val="007256BD"/>
    <w:rsid w:val="0072743F"/>
    <w:rsid w:val="007300AD"/>
    <w:rsid w:val="00730208"/>
    <w:rsid w:val="0073039A"/>
    <w:rsid w:val="007303E5"/>
    <w:rsid w:val="00730D3B"/>
    <w:rsid w:val="007317D6"/>
    <w:rsid w:val="00731F49"/>
    <w:rsid w:val="0073238C"/>
    <w:rsid w:val="00732962"/>
    <w:rsid w:val="00732A7E"/>
    <w:rsid w:val="00732D0F"/>
    <w:rsid w:val="00733002"/>
    <w:rsid w:val="0073344D"/>
    <w:rsid w:val="00734329"/>
    <w:rsid w:val="0073578F"/>
    <w:rsid w:val="00735DAF"/>
    <w:rsid w:val="0073611A"/>
    <w:rsid w:val="00737ABD"/>
    <w:rsid w:val="00741105"/>
    <w:rsid w:val="0074197A"/>
    <w:rsid w:val="00741991"/>
    <w:rsid w:val="00741A19"/>
    <w:rsid w:val="00742520"/>
    <w:rsid w:val="00742728"/>
    <w:rsid w:val="00742EF8"/>
    <w:rsid w:val="00743359"/>
    <w:rsid w:val="007434F2"/>
    <w:rsid w:val="00743F47"/>
    <w:rsid w:val="007444FC"/>
    <w:rsid w:val="007445DA"/>
    <w:rsid w:val="00744A16"/>
    <w:rsid w:val="007453EE"/>
    <w:rsid w:val="0074636B"/>
    <w:rsid w:val="0074719F"/>
    <w:rsid w:val="007501D4"/>
    <w:rsid w:val="00750550"/>
    <w:rsid w:val="00750859"/>
    <w:rsid w:val="00751734"/>
    <w:rsid w:val="00751C89"/>
    <w:rsid w:val="00752117"/>
    <w:rsid w:val="007521F7"/>
    <w:rsid w:val="00752454"/>
    <w:rsid w:val="00752A9A"/>
    <w:rsid w:val="007536DC"/>
    <w:rsid w:val="00754624"/>
    <w:rsid w:val="007548C2"/>
    <w:rsid w:val="00755B3F"/>
    <w:rsid w:val="007561A3"/>
    <w:rsid w:val="00756339"/>
    <w:rsid w:val="00757428"/>
    <w:rsid w:val="00757C17"/>
    <w:rsid w:val="00760607"/>
    <w:rsid w:val="00760697"/>
    <w:rsid w:val="007606E1"/>
    <w:rsid w:val="00761160"/>
    <w:rsid w:val="00761543"/>
    <w:rsid w:val="00761858"/>
    <w:rsid w:val="00761AAD"/>
    <w:rsid w:val="007633F6"/>
    <w:rsid w:val="00763802"/>
    <w:rsid w:val="00764DC8"/>
    <w:rsid w:val="0076502E"/>
    <w:rsid w:val="00765040"/>
    <w:rsid w:val="00765441"/>
    <w:rsid w:val="00766007"/>
    <w:rsid w:val="007666A9"/>
    <w:rsid w:val="007674ED"/>
    <w:rsid w:val="00767A9F"/>
    <w:rsid w:val="0077096D"/>
    <w:rsid w:val="007718A2"/>
    <w:rsid w:val="00771FBE"/>
    <w:rsid w:val="007720D7"/>
    <w:rsid w:val="00774502"/>
    <w:rsid w:val="00774EE2"/>
    <w:rsid w:val="00775547"/>
    <w:rsid w:val="00775ACD"/>
    <w:rsid w:val="00775D27"/>
    <w:rsid w:val="00775FDF"/>
    <w:rsid w:val="007805C6"/>
    <w:rsid w:val="00780809"/>
    <w:rsid w:val="007808CA"/>
    <w:rsid w:val="00780D0C"/>
    <w:rsid w:val="0078226A"/>
    <w:rsid w:val="0078294C"/>
    <w:rsid w:val="00783720"/>
    <w:rsid w:val="00783BE5"/>
    <w:rsid w:val="00784267"/>
    <w:rsid w:val="007845BC"/>
    <w:rsid w:val="00784708"/>
    <w:rsid w:val="00784D23"/>
    <w:rsid w:val="00784D87"/>
    <w:rsid w:val="00784D91"/>
    <w:rsid w:val="00784F14"/>
    <w:rsid w:val="00785759"/>
    <w:rsid w:val="00785D0A"/>
    <w:rsid w:val="00785D82"/>
    <w:rsid w:val="00786313"/>
    <w:rsid w:val="00786BD8"/>
    <w:rsid w:val="00786BFD"/>
    <w:rsid w:val="00786C4B"/>
    <w:rsid w:val="00787E96"/>
    <w:rsid w:val="00790870"/>
    <w:rsid w:val="00790AAE"/>
    <w:rsid w:val="007912FC"/>
    <w:rsid w:val="007913E8"/>
    <w:rsid w:val="007916B5"/>
    <w:rsid w:val="007918D1"/>
    <w:rsid w:val="00791A71"/>
    <w:rsid w:val="00792514"/>
    <w:rsid w:val="00792521"/>
    <w:rsid w:val="00793014"/>
    <w:rsid w:val="00793146"/>
    <w:rsid w:val="007931CE"/>
    <w:rsid w:val="007933AE"/>
    <w:rsid w:val="00793480"/>
    <w:rsid w:val="00793C36"/>
    <w:rsid w:val="00794098"/>
    <w:rsid w:val="00794313"/>
    <w:rsid w:val="0079432F"/>
    <w:rsid w:val="00795313"/>
    <w:rsid w:val="00795BEA"/>
    <w:rsid w:val="007968C6"/>
    <w:rsid w:val="00796916"/>
    <w:rsid w:val="00796F75"/>
    <w:rsid w:val="007975CB"/>
    <w:rsid w:val="00797A0B"/>
    <w:rsid w:val="00797A89"/>
    <w:rsid w:val="00797B5E"/>
    <w:rsid w:val="007A00AD"/>
    <w:rsid w:val="007A039E"/>
    <w:rsid w:val="007A0B73"/>
    <w:rsid w:val="007A1844"/>
    <w:rsid w:val="007A1A44"/>
    <w:rsid w:val="007A220B"/>
    <w:rsid w:val="007A2C6F"/>
    <w:rsid w:val="007A3CF2"/>
    <w:rsid w:val="007A3EF6"/>
    <w:rsid w:val="007A4BCE"/>
    <w:rsid w:val="007A4BD7"/>
    <w:rsid w:val="007A4D52"/>
    <w:rsid w:val="007A4EEF"/>
    <w:rsid w:val="007A50A4"/>
    <w:rsid w:val="007A51F4"/>
    <w:rsid w:val="007A5C38"/>
    <w:rsid w:val="007A5CF9"/>
    <w:rsid w:val="007A7283"/>
    <w:rsid w:val="007A7CFF"/>
    <w:rsid w:val="007B00E2"/>
    <w:rsid w:val="007B0524"/>
    <w:rsid w:val="007B11D8"/>
    <w:rsid w:val="007B1DF7"/>
    <w:rsid w:val="007B29F3"/>
    <w:rsid w:val="007B32A3"/>
    <w:rsid w:val="007B3AEF"/>
    <w:rsid w:val="007B3BBC"/>
    <w:rsid w:val="007B3FB0"/>
    <w:rsid w:val="007B40F6"/>
    <w:rsid w:val="007B51CA"/>
    <w:rsid w:val="007B58F2"/>
    <w:rsid w:val="007B5976"/>
    <w:rsid w:val="007B6245"/>
    <w:rsid w:val="007B6494"/>
    <w:rsid w:val="007B6986"/>
    <w:rsid w:val="007B6CE3"/>
    <w:rsid w:val="007B6D15"/>
    <w:rsid w:val="007C0B8C"/>
    <w:rsid w:val="007C18C6"/>
    <w:rsid w:val="007C2592"/>
    <w:rsid w:val="007C264A"/>
    <w:rsid w:val="007C2D59"/>
    <w:rsid w:val="007C2FBF"/>
    <w:rsid w:val="007C334F"/>
    <w:rsid w:val="007C37BB"/>
    <w:rsid w:val="007C3ABB"/>
    <w:rsid w:val="007C40B6"/>
    <w:rsid w:val="007C4D1D"/>
    <w:rsid w:val="007C4E4B"/>
    <w:rsid w:val="007C4E6C"/>
    <w:rsid w:val="007C5CEF"/>
    <w:rsid w:val="007C5F07"/>
    <w:rsid w:val="007C6310"/>
    <w:rsid w:val="007C6869"/>
    <w:rsid w:val="007C7BD2"/>
    <w:rsid w:val="007D036B"/>
    <w:rsid w:val="007D0623"/>
    <w:rsid w:val="007D09CF"/>
    <w:rsid w:val="007D1905"/>
    <w:rsid w:val="007D2951"/>
    <w:rsid w:val="007D2DFF"/>
    <w:rsid w:val="007D2E03"/>
    <w:rsid w:val="007D32F5"/>
    <w:rsid w:val="007D37DD"/>
    <w:rsid w:val="007D4FAF"/>
    <w:rsid w:val="007D5052"/>
    <w:rsid w:val="007D58A3"/>
    <w:rsid w:val="007D6F86"/>
    <w:rsid w:val="007D7521"/>
    <w:rsid w:val="007D7C17"/>
    <w:rsid w:val="007D7F72"/>
    <w:rsid w:val="007E0636"/>
    <w:rsid w:val="007E0AA3"/>
    <w:rsid w:val="007E2526"/>
    <w:rsid w:val="007E3311"/>
    <w:rsid w:val="007E3B5F"/>
    <w:rsid w:val="007E458F"/>
    <w:rsid w:val="007E4F42"/>
    <w:rsid w:val="007E5746"/>
    <w:rsid w:val="007E5C8C"/>
    <w:rsid w:val="007E67A1"/>
    <w:rsid w:val="007E7EB1"/>
    <w:rsid w:val="007F0C2F"/>
    <w:rsid w:val="007F1C03"/>
    <w:rsid w:val="007F2365"/>
    <w:rsid w:val="007F293E"/>
    <w:rsid w:val="007F2CE5"/>
    <w:rsid w:val="007F3837"/>
    <w:rsid w:val="007F5533"/>
    <w:rsid w:val="007F5796"/>
    <w:rsid w:val="007F625B"/>
    <w:rsid w:val="007F62A9"/>
    <w:rsid w:val="007F6575"/>
    <w:rsid w:val="007F6BFD"/>
    <w:rsid w:val="007F6C3C"/>
    <w:rsid w:val="007F6C89"/>
    <w:rsid w:val="007F717A"/>
    <w:rsid w:val="007F7AD4"/>
    <w:rsid w:val="007F7E72"/>
    <w:rsid w:val="007F7EFA"/>
    <w:rsid w:val="007F7FC1"/>
    <w:rsid w:val="00800479"/>
    <w:rsid w:val="00800DE4"/>
    <w:rsid w:val="008017B6"/>
    <w:rsid w:val="00803234"/>
    <w:rsid w:val="00803761"/>
    <w:rsid w:val="00803C6D"/>
    <w:rsid w:val="00804223"/>
    <w:rsid w:val="00804443"/>
    <w:rsid w:val="008057E2"/>
    <w:rsid w:val="00805D82"/>
    <w:rsid w:val="00805EAD"/>
    <w:rsid w:val="0080766B"/>
    <w:rsid w:val="00807754"/>
    <w:rsid w:val="00807A0D"/>
    <w:rsid w:val="00807A0F"/>
    <w:rsid w:val="00811504"/>
    <w:rsid w:val="008115CC"/>
    <w:rsid w:val="00811666"/>
    <w:rsid w:val="008119B2"/>
    <w:rsid w:val="008122D9"/>
    <w:rsid w:val="00812652"/>
    <w:rsid w:val="0081363B"/>
    <w:rsid w:val="0081451A"/>
    <w:rsid w:val="00814765"/>
    <w:rsid w:val="00814C92"/>
    <w:rsid w:val="00814E27"/>
    <w:rsid w:val="00815885"/>
    <w:rsid w:val="008165A5"/>
    <w:rsid w:val="00816C67"/>
    <w:rsid w:val="00817446"/>
    <w:rsid w:val="00817A30"/>
    <w:rsid w:val="00817A47"/>
    <w:rsid w:val="00820BE3"/>
    <w:rsid w:val="008212F3"/>
    <w:rsid w:val="0082150F"/>
    <w:rsid w:val="00821973"/>
    <w:rsid w:val="00821C47"/>
    <w:rsid w:val="00822C22"/>
    <w:rsid w:val="00822F3C"/>
    <w:rsid w:val="00822F8F"/>
    <w:rsid w:val="00823165"/>
    <w:rsid w:val="00823288"/>
    <w:rsid w:val="0082330A"/>
    <w:rsid w:val="00823A6D"/>
    <w:rsid w:val="0082404B"/>
    <w:rsid w:val="00824324"/>
    <w:rsid w:val="00824D1A"/>
    <w:rsid w:val="00824F71"/>
    <w:rsid w:val="00825566"/>
    <w:rsid w:val="00825A38"/>
    <w:rsid w:val="00825FBA"/>
    <w:rsid w:val="0082609E"/>
    <w:rsid w:val="00826627"/>
    <w:rsid w:val="00826ACD"/>
    <w:rsid w:val="00826F0A"/>
    <w:rsid w:val="00827751"/>
    <w:rsid w:val="00827A80"/>
    <w:rsid w:val="00830701"/>
    <w:rsid w:val="00830A89"/>
    <w:rsid w:val="00830D42"/>
    <w:rsid w:val="00830E05"/>
    <w:rsid w:val="0083285A"/>
    <w:rsid w:val="00833EEE"/>
    <w:rsid w:val="00835485"/>
    <w:rsid w:val="00835C75"/>
    <w:rsid w:val="00837451"/>
    <w:rsid w:val="00837811"/>
    <w:rsid w:val="00837859"/>
    <w:rsid w:val="008378A5"/>
    <w:rsid w:val="00837908"/>
    <w:rsid w:val="00837A74"/>
    <w:rsid w:val="0084031E"/>
    <w:rsid w:val="0084049C"/>
    <w:rsid w:val="00840670"/>
    <w:rsid w:val="00841116"/>
    <w:rsid w:val="008417C5"/>
    <w:rsid w:val="00841F28"/>
    <w:rsid w:val="008433D6"/>
    <w:rsid w:val="00843E45"/>
    <w:rsid w:val="00844841"/>
    <w:rsid w:val="00844DF0"/>
    <w:rsid w:val="00845204"/>
    <w:rsid w:val="00846893"/>
    <w:rsid w:val="00847D0D"/>
    <w:rsid w:val="008508CA"/>
    <w:rsid w:val="008511FC"/>
    <w:rsid w:val="00851456"/>
    <w:rsid w:val="00851CDC"/>
    <w:rsid w:val="00852280"/>
    <w:rsid w:val="00853200"/>
    <w:rsid w:val="008538EF"/>
    <w:rsid w:val="0085400B"/>
    <w:rsid w:val="008547D3"/>
    <w:rsid w:val="00854DF3"/>
    <w:rsid w:val="00855872"/>
    <w:rsid w:val="00855A7C"/>
    <w:rsid w:val="00856604"/>
    <w:rsid w:val="00857267"/>
    <w:rsid w:val="00857278"/>
    <w:rsid w:val="008605D7"/>
    <w:rsid w:val="008612A3"/>
    <w:rsid w:val="00862F78"/>
    <w:rsid w:val="00864966"/>
    <w:rsid w:val="008661DF"/>
    <w:rsid w:val="008678EA"/>
    <w:rsid w:val="008702A7"/>
    <w:rsid w:val="00870CEB"/>
    <w:rsid w:val="008712B2"/>
    <w:rsid w:val="00871D8D"/>
    <w:rsid w:val="00872ECA"/>
    <w:rsid w:val="00873A43"/>
    <w:rsid w:val="00874A4B"/>
    <w:rsid w:val="00875364"/>
    <w:rsid w:val="00875FED"/>
    <w:rsid w:val="00876417"/>
    <w:rsid w:val="00876EFF"/>
    <w:rsid w:val="0088014B"/>
    <w:rsid w:val="00880E4C"/>
    <w:rsid w:val="00881904"/>
    <w:rsid w:val="00881C08"/>
    <w:rsid w:val="00883881"/>
    <w:rsid w:val="008845C3"/>
    <w:rsid w:val="00884D11"/>
    <w:rsid w:val="00885123"/>
    <w:rsid w:val="00885D91"/>
    <w:rsid w:val="008860A2"/>
    <w:rsid w:val="008872AF"/>
    <w:rsid w:val="00891112"/>
    <w:rsid w:val="008917B6"/>
    <w:rsid w:val="0089215B"/>
    <w:rsid w:val="008926CC"/>
    <w:rsid w:val="0089283B"/>
    <w:rsid w:val="00893065"/>
    <w:rsid w:val="00893D8A"/>
    <w:rsid w:val="0089450D"/>
    <w:rsid w:val="00894EB7"/>
    <w:rsid w:val="00895501"/>
    <w:rsid w:val="008975AF"/>
    <w:rsid w:val="008A0561"/>
    <w:rsid w:val="008A1E92"/>
    <w:rsid w:val="008A263C"/>
    <w:rsid w:val="008A29C6"/>
    <w:rsid w:val="008A3AB3"/>
    <w:rsid w:val="008A3C99"/>
    <w:rsid w:val="008A43C0"/>
    <w:rsid w:val="008A44A7"/>
    <w:rsid w:val="008A459B"/>
    <w:rsid w:val="008A45E7"/>
    <w:rsid w:val="008A4CA3"/>
    <w:rsid w:val="008A4E23"/>
    <w:rsid w:val="008A63E5"/>
    <w:rsid w:val="008A651E"/>
    <w:rsid w:val="008A6F53"/>
    <w:rsid w:val="008A71BF"/>
    <w:rsid w:val="008B117A"/>
    <w:rsid w:val="008B130D"/>
    <w:rsid w:val="008B161C"/>
    <w:rsid w:val="008B16A7"/>
    <w:rsid w:val="008B1D34"/>
    <w:rsid w:val="008B2748"/>
    <w:rsid w:val="008B5F7F"/>
    <w:rsid w:val="008B6A22"/>
    <w:rsid w:val="008B6AB1"/>
    <w:rsid w:val="008B7636"/>
    <w:rsid w:val="008B79F0"/>
    <w:rsid w:val="008B7F9D"/>
    <w:rsid w:val="008C01AA"/>
    <w:rsid w:val="008C0808"/>
    <w:rsid w:val="008C0C67"/>
    <w:rsid w:val="008C15A8"/>
    <w:rsid w:val="008C1E9A"/>
    <w:rsid w:val="008C20C0"/>
    <w:rsid w:val="008C2E0F"/>
    <w:rsid w:val="008C310B"/>
    <w:rsid w:val="008C312D"/>
    <w:rsid w:val="008C342D"/>
    <w:rsid w:val="008C3FF4"/>
    <w:rsid w:val="008C4272"/>
    <w:rsid w:val="008C4ACA"/>
    <w:rsid w:val="008C4F5E"/>
    <w:rsid w:val="008C64DB"/>
    <w:rsid w:val="008C720F"/>
    <w:rsid w:val="008C73D3"/>
    <w:rsid w:val="008C7A2A"/>
    <w:rsid w:val="008D1814"/>
    <w:rsid w:val="008D1BF4"/>
    <w:rsid w:val="008D5B76"/>
    <w:rsid w:val="008D5DFC"/>
    <w:rsid w:val="008D5EAA"/>
    <w:rsid w:val="008D6C48"/>
    <w:rsid w:val="008E0E90"/>
    <w:rsid w:val="008E0EA2"/>
    <w:rsid w:val="008E16B0"/>
    <w:rsid w:val="008E1916"/>
    <w:rsid w:val="008E2B0D"/>
    <w:rsid w:val="008E2D0B"/>
    <w:rsid w:val="008E2D6F"/>
    <w:rsid w:val="008E2FB3"/>
    <w:rsid w:val="008E3F1D"/>
    <w:rsid w:val="008E45D4"/>
    <w:rsid w:val="008E5631"/>
    <w:rsid w:val="008E5677"/>
    <w:rsid w:val="008E5C12"/>
    <w:rsid w:val="008E6EC7"/>
    <w:rsid w:val="008E7071"/>
    <w:rsid w:val="008F0AB8"/>
    <w:rsid w:val="008F1243"/>
    <w:rsid w:val="008F144A"/>
    <w:rsid w:val="008F15F3"/>
    <w:rsid w:val="008F1B0D"/>
    <w:rsid w:val="008F213B"/>
    <w:rsid w:val="008F22E8"/>
    <w:rsid w:val="008F2CC1"/>
    <w:rsid w:val="008F2F6C"/>
    <w:rsid w:val="008F32EF"/>
    <w:rsid w:val="008F3A6F"/>
    <w:rsid w:val="008F4013"/>
    <w:rsid w:val="008F4C64"/>
    <w:rsid w:val="008F4CBC"/>
    <w:rsid w:val="008F4F91"/>
    <w:rsid w:val="008F595C"/>
    <w:rsid w:val="008F5A00"/>
    <w:rsid w:val="008F5E06"/>
    <w:rsid w:val="008F6452"/>
    <w:rsid w:val="008F6743"/>
    <w:rsid w:val="008F6A35"/>
    <w:rsid w:val="008F75F2"/>
    <w:rsid w:val="009015A2"/>
    <w:rsid w:val="00901807"/>
    <w:rsid w:val="0090314A"/>
    <w:rsid w:val="009031C1"/>
    <w:rsid w:val="009031E8"/>
    <w:rsid w:val="009034CF"/>
    <w:rsid w:val="00904550"/>
    <w:rsid w:val="00905635"/>
    <w:rsid w:val="00905C1E"/>
    <w:rsid w:val="00905D28"/>
    <w:rsid w:val="00906010"/>
    <w:rsid w:val="009060CF"/>
    <w:rsid w:val="0090692D"/>
    <w:rsid w:val="00906BC8"/>
    <w:rsid w:val="009070EC"/>
    <w:rsid w:val="00907EBE"/>
    <w:rsid w:val="009109B0"/>
    <w:rsid w:val="00910FEA"/>
    <w:rsid w:val="0091129C"/>
    <w:rsid w:val="0091141C"/>
    <w:rsid w:val="00911A50"/>
    <w:rsid w:val="00912066"/>
    <w:rsid w:val="009120A6"/>
    <w:rsid w:val="00913107"/>
    <w:rsid w:val="00913140"/>
    <w:rsid w:val="009133CE"/>
    <w:rsid w:val="0091374F"/>
    <w:rsid w:val="0091457B"/>
    <w:rsid w:val="00914C8A"/>
    <w:rsid w:val="00915D70"/>
    <w:rsid w:val="00915E34"/>
    <w:rsid w:val="009161C0"/>
    <w:rsid w:val="00916614"/>
    <w:rsid w:val="00916F41"/>
    <w:rsid w:val="00917A83"/>
    <w:rsid w:val="00917C90"/>
    <w:rsid w:val="00917CCC"/>
    <w:rsid w:val="00920375"/>
    <w:rsid w:val="009203C1"/>
    <w:rsid w:val="00920BFD"/>
    <w:rsid w:val="00920EBF"/>
    <w:rsid w:val="00921B64"/>
    <w:rsid w:val="0092389A"/>
    <w:rsid w:val="0092399A"/>
    <w:rsid w:val="00923B33"/>
    <w:rsid w:val="00923B64"/>
    <w:rsid w:val="00924D90"/>
    <w:rsid w:val="00925324"/>
    <w:rsid w:val="0092544F"/>
    <w:rsid w:val="00925460"/>
    <w:rsid w:val="0092555C"/>
    <w:rsid w:val="0092558B"/>
    <w:rsid w:val="009265CA"/>
    <w:rsid w:val="00926DD4"/>
    <w:rsid w:val="00927956"/>
    <w:rsid w:val="009279E7"/>
    <w:rsid w:val="009302C6"/>
    <w:rsid w:val="00930575"/>
    <w:rsid w:val="009311E1"/>
    <w:rsid w:val="00931DD2"/>
    <w:rsid w:val="00932F7B"/>
    <w:rsid w:val="009334D7"/>
    <w:rsid w:val="00933867"/>
    <w:rsid w:val="00933F70"/>
    <w:rsid w:val="00934404"/>
    <w:rsid w:val="009345B3"/>
    <w:rsid w:val="0093475B"/>
    <w:rsid w:val="00935A9A"/>
    <w:rsid w:val="00935F4E"/>
    <w:rsid w:val="009360DC"/>
    <w:rsid w:val="009361B0"/>
    <w:rsid w:val="00936822"/>
    <w:rsid w:val="00937857"/>
    <w:rsid w:val="009411F5"/>
    <w:rsid w:val="0094192A"/>
    <w:rsid w:val="0094233F"/>
    <w:rsid w:val="00942AB8"/>
    <w:rsid w:val="009435B0"/>
    <w:rsid w:val="00944A42"/>
    <w:rsid w:val="00944DEF"/>
    <w:rsid w:val="00946443"/>
    <w:rsid w:val="00946DA4"/>
    <w:rsid w:val="00946DB0"/>
    <w:rsid w:val="00946E3C"/>
    <w:rsid w:val="00947212"/>
    <w:rsid w:val="0094721F"/>
    <w:rsid w:val="009473BD"/>
    <w:rsid w:val="00947BB2"/>
    <w:rsid w:val="009501D7"/>
    <w:rsid w:val="009502E2"/>
    <w:rsid w:val="009510AC"/>
    <w:rsid w:val="009514EF"/>
    <w:rsid w:val="00951682"/>
    <w:rsid w:val="00951A6F"/>
    <w:rsid w:val="00951D71"/>
    <w:rsid w:val="00951E84"/>
    <w:rsid w:val="00952050"/>
    <w:rsid w:val="00952273"/>
    <w:rsid w:val="00952A92"/>
    <w:rsid w:val="00952F8F"/>
    <w:rsid w:val="00953D84"/>
    <w:rsid w:val="0095447B"/>
    <w:rsid w:val="009548CF"/>
    <w:rsid w:val="00955BAB"/>
    <w:rsid w:val="00955BE8"/>
    <w:rsid w:val="00955CE4"/>
    <w:rsid w:val="00955E8C"/>
    <w:rsid w:val="0095613F"/>
    <w:rsid w:val="00956833"/>
    <w:rsid w:val="00960DE1"/>
    <w:rsid w:val="0096118E"/>
    <w:rsid w:val="009629FC"/>
    <w:rsid w:val="009631D2"/>
    <w:rsid w:val="00963399"/>
    <w:rsid w:val="009635E6"/>
    <w:rsid w:val="00963684"/>
    <w:rsid w:val="0096384B"/>
    <w:rsid w:val="00963BDC"/>
    <w:rsid w:val="00963EC0"/>
    <w:rsid w:val="00965362"/>
    <w:rsid w:val="0096548B"/>
    <w:rsid w:val="0096568A"/>
    <w:rsid w:val="00965BE1"/>
    <w:rsid w:val="00965CFF"/>
    <w:rsid w:val="00966C36"/>
    <w:rsid w:val="00967314"/>
    <w:rsid w:val="009675D8"/>
    <w:rsid w:val="00967649"/>
    <w:rsid w:val="00967ED4"/>
    <w:rsid w:val="009704EB"/>
    <w:rsid w:val="00970FD5"/>
    <w:rsid w:val="009713DA"/>
    <w:rsid w:val="00971444"/>
    <w:rsid w:val="00971599"/>
    <w:rsid w:val="00971B6C"/>
    <w:rsid w:val="00971EF1"/>
    <w:rsid w:val="00973037"/>
    <w:rsid w:val="00973C54"/>
    <w:rsid w:val="009742DD"/>
    <w:rsid w:val="00974302"/>
    <w:rsid w:val="00975053"/>
    <w:rsid w:val="0097590C"/>
    <w:rsid w:val="00975B0B"/>
    <w:rsid w:val="00976618"/>
    <w:rsid w:val="00976E71"/>
    <w:rsid w:val="00977AB3"/>
    <w:rsid w:val="0098091B"/>
    <w:rsid w:val="00980A37"/>
    <w:rsid w:val="00980AC1"/>
    <w:rsid w:val="00981361"/>
    <w:rsid w:val="00981385"/>
    <w:rsid w:val="009817BD"/>
    <w:rsid w:val="00981D63"/>
    <w:rsid w:val="009821B8"/>
    <w:rsid w:val="0098264C"/>
    <w:rsid w:val="00982804"/>
    <w:rsid w:val="009829E2"/>
    <w:rsid w:val="00982EA3"/>
    <w:rsid w:val="0098345A"/>
    <w:rsid w:val="00983644"/>
    <w:rsid w:val="00983887"/>
    <w:rsid w:val="009844D6"/>
    <w:rsid w:val="0098484A"/>
    <w:rsid w:val="00985EB5"/>
    <w:rsid w:val="0098625C"/>
    <w:rsid w:val="00986B2B"/>
    <w:rsid w:val="00987015"/>
    <w:rsid w:val="009875F1"/>
    <w:rsid w:val="0099008C"/>
    <w:rsid w:val="009900CA"/>
    <w:rsid w:val="00990DBF"/>
    <w:rsid w:val="00991121"/>
    <w:rsid w:val="00992970"/>
    <w:rsid w:val="00993567"/>
    <w:rsid w:val="0099391C"/>
    <w:rsid w:val="00994ED3"/>
    <w:rsid w:val="009952AC"/>
    <w:rsid w:val="00995395"/>
    <w:rsid w:val="00995AEB"/>
    <w:rsid w:val="00995D02"/>
    <w:rsid w:val="00996A6C"/>
    <w:rsid w:val="00996B4E"/>
    <w:rsid w:val="00996CDB"/>
    <w:rsid w:val="00996F23"/>
    <w:rsid w:val="009A0150"/>
    <w:rsid w:val="009A0242"/>
    <w:rsid w:val="009A04A0"/>
    <w:rsid w:val="009A1123"/>
    <w:rsid w:val="009A1348"/>
    <w:rsid w:val="009A1C0A"/>
    <w:rsid w:val="009A1F95"/>
    <w:rsid w:val="009A2F62"/>
    <w:rsid w:val="009A31D4"/>
    <w:rsid w:val="009A35BD"/>
    <w:rsid w:val="009A3FD8"/>
    <w:rsid w:val="009A528B"/>
    <w:rsid w:val="009A5574"/>
    <w:rsid w:val="009A55DB"/>
    <w:rsid w:val="009A567E"/>
    <w:rsid w:val="009A570D"/>
    <w:rsid w:val="009A608A"/>
    <w:rsid w:val="009A646D"/>
    <w:rsid w:val="009A66DF"/>
    <w:rsid w:val="009A6BC8"/>
    <w:rsid w:val="009A77ED"/>
    <w:rsid w:val="009A7AD8"/>
    <w:rsid w:val="009B018B"/>
    <w:rsid w:val="009B07CB"/>
    <w:rsid w:val="009B09D4"/>
    <w:rsid w:val="009B0E45"/>
    <w:rsid w:val="009B1425"/>
    <w:rsid w:val="009B269A"/>
    <w:rsid w:val="009B31C7"/>
    <w:rsid w:val="009B33DF"/>
    <w:rsid w:val="009B3B04"/>
    <w:rsid w:val="009B3D43"/>
    <w:rsid w:val="009B5F96"/>
    <w:rsid w:val="009B6674"/>
    <w:rsid w:val="009B6B17"/>
    <w:rsid w:val="009B6BC0"/>
    <w:rsid w:val="009B6F4E"/>
    <w:rsid w:val="009B6F5B"/>
    <w:rsid w:val="009B7505"/>
    <w:rsid w:val="009B7F85"/>
    <w:rsid w:val="009C1606"/>
    <w:rsid w:val="009C1991"/>
    <w:rsid w:val="009C199C"/>
    <w:rsid w:val="009C1F89"/>
    <w:rsid w:val="009C1FC8"/>
    <w:rsid w:val="009C22EE"/>
    <w:rsid w:val="009C247F"/>
    <w:rsid w:val="009C2C96"/>
    <w:rsid w:val="009C315E"/>
    <w:rsid w:val="009C3473"/>
    <w:rsid w:val="009C36F9"/>
    <w:rsid w:val="009C44AB"/>
    <w:rsid w:val="009C5F30"/>
    <w:rsid w:val="009C6133"/>
    <w:rsid w:val="009C704D"/>
    <w:rsid w:val="009C723C"/>
    <w:rsid w:val="009C7308"/>
    <w:rsid w:val="009D049A"/>
    <w:rsid w:val="009D057B"/>
    <w:rsid w:val="009D1174"/>
    <w:rsid w:val="009D25A3"/>
    <w:rsid w:val="009D2BC4"/>
    <w:rsid w:val="009D2D7F"/>
    <w:rsid w:val="009D44A6"/>
    <w:rsid w:val="009D4EDA"/>
    <w:rsid w:val="009D5234"/>
    <w:rsid w:val="009D53BF"/>
    <w:rsid w:val="009D5E34"/>
    <w:rsid w:val="009D617A"/>
    <w:rsid w:val="009D7266"/>
    <w:rsid w:val="009D73D2"/>
    <w:rsid w:val="009D74E6"/>
    <w:rsid w:val="009D7B84"/>
    <w:rsid w:val="009D7E17"/>
    <w:rsid w:val="009E00CA"/>
    <w:rsid w:val="009E07F9"/>
    <w:rsid w:val="009E0EDD"/>
    <w:rsid w:val="009E122A"/>
    <w:rsid w:val="009E1236"/>
    <w:rsid w:val="009E1243"/>
    <w:rsid w:val="009E1587"/>
    <w:rsid w:val="009E1812"/>
    <w:rsid w:val="009E1E60"/>
    <w:rsid w:val="009E20A5"/>
    <w:rsid w:val="009E22CF"/>
    <w:rsid w:val="009E2302"/>
    <w:rsid w:val="009E297D"/>
    <w:rsid w:val="009E326E"/>
    <w:rsid w:val="009E3474"/>
    <w:rsid w:val="009E3CFD"/>
    <w:rsid w:val="009E3DE7"/>
    <w:rsid w:val="009E3FC0"/>
    <w:rsid w:val="009E4027"/>
    <w:rsid w:val="009E50EE"/>
    <w:rsid w:val="009E569F"/>
    <w:rsid w:val="009E6045"/>
    <w:rsid w:val="009E6870"/>
    <w:rsid w:val="009E69D0"/>
    <w:rsid w:val="009E6EDE"/>
    <w:rsid w:val="009E6F90"/>
    <w:rsid w:val="009E7B90"/>
    <w:rsid w:val="009F006C"/>
    <w:rsid w:val="009F009E"/>
    <w:rsid w:val="009F0AC4"/>
    <w:rsid w:val="009F2426"/>
    <w:rsid w:val="009F31C0"/>
    <w:rsid w:val="009F3393"/>
    <w:rsid w:val="009F341F"/>
    <w:rsid w:val="009F34D5"/>
    <w:rsid w:val="009F3C07"/>
    <w:rsid w:val="009F3E74"/>
    <w:rsid w:val="009F4DD6"/>
    <w:rsid w:val="009F50CF"/>
    <w:rsid w:val="009F55F4"/>
    <w:rsid w:val="009F5918"/>
    <w:rsid w:val="009F5EC1"/>
    <w:rsid w:val="009F5F62"/>
    <w:rsid w:val="009F678F"/>
    <w:rsid w:val="009F6DE5"/>
    <w:rsid w:val="009F75F9"/>
    <w:rsid w:val="009F7EC5"/>
    <w:rsid w:val="00A00B22"/>
    <w:rsid w:val="00A00C18"/>
    <w:rsid w:val="00A0129D"/>
    <w:rsid w:val="00A01BC3"/>
    <w:rsid w:val="00A02021"/>
    <w:rsid w:val="00A021E3"/>
    <w:rsid w:val="00A0256A"/>
    <w:rsid w:val="00A02F02"/>
    <w:rsid w:val="00A030E8"/>
    <w:rsid w:val="00A0410F"/>
    <w:rsid w:val="00A04268"/>
    <w:rsid w:val="00A04505"/>
    <w:rsid w:val="00A04A05"/>
    <w:rsid w:val="00A05791"/>
    <w:rsid w:val="00A05A57"/>
    <w:rsid w:val="00A0617D"/>
    <w:rsid w:val="00A06D57"/>
    <w:rsid w:val="00A06EDE"/>
    <w:rsid w:val="00A06FAC"/>
    <w:rsid w:val="00A06FB0"/>
    <w:rsid w:val="00A07DB1"/>
    <w:rsid w:val="00A07FDD"/>
    <w:rsid w:val="00A1086C"/>
    <w:rsid w:val="00A1106D"/>
    <w:rsid w:val="00A1121C"/>
    <w:rsid w:val="00A114C7"/>
    <w:rsid w:val="00A11D46"/>
    <w:rsid w:val="00A12118"/>
    <w:rsid w:val="00A12279"/>
    <w:rsid w:val="00A12563"/>
    <w:rsid w:val="00A13B31"/>
    <w:rsid w:val="00A13BF8"/>
    <w:rsid w:val="00A14C7F"/>
    <w:rsid w:val="00A14CB3"/>
    <w:rsid w:val="00A14E24"/>
    <w:rsid w:val="00A15ADF"/>
    <w:rsid w:val="00A15DB4"/>
    <w:rsid w:val="00A163F2"/>
    <w:rsid w:val="00A167C0"/>
    <w:rsid w:val="00A16CCC"/>
    <w:rsid w:val="00A17562"/>
    <w:rsid w:val="00A179D8"/>
    <w:rsid w:val="00A208DA"/>
    <w:rsid w:val="00A20A1C"/>
    <w:rsid w:val="00A20ED0"/>
    <w:rsid w:val="00A21C1C"/>
    <w:rsid w:val="00A22046"/>
    <w:rsid w:val="00A231BA"/>
    <w:rsid w:val="00A23201"/>
    <w:rsid w:val="00A235F5"/>
    <w:rsid w:val="00A24142"/>
    <w:rsid w:val="00A246C2"/>
    <w:rsid w:val="00A24795"/>
    <w:rsid w:val="00A24852"/>
    <w:rsid w:val="00A25196"/>
    <w:rsid w:val="00A2572F"/>
    <w:rsid w:val="00A25E98"/>
    <w:rsid w:val="00A2628F"/>
    <w:rsid w:val="00A27548"/>
    <w:rsid w:val="00A30557"/>
    <w:rsid w:val="00A310CD"/>
    <w:rsid w:val="00A31B50"/>
    <w:rsid w:val="00A31C17"/>
    <w:rsid w:val="00A32B7F"/>
    <w:rsid w:val="00A32C6B"/>
    <w:rsid w:val="00A32F4A"/>
    <w:rsid w:val="00A331EE"/>
    <w:rsid w:val="00A33418"/>
    <w:rsid w:val="00A336B2"/>
    <w:rsid w:val="00A33A76"/>
    <w:rsid w:val="00A34488"/>
    <w:rsid w:val="00A34524"/>
    <w:rsid w:val="00A34B07"/>
    <w:rsid w:val="00A34CAE"/>
    <w:rsid w:val="00A35F60"/>
    <w:rsid w:val="00A36F5F"/>
    <w:rsid w:val="00A37B1A"/>
    <w:rsid w:val="00A40187"/>
    <w:rsid w:val="00A409A4"/>
    <w:rsid w:val="00A40A7B"/>
    <w:rsid w:val="00A41177"/>
    <w:rsid w:val="00A41B2F"/>
    <w:rsid w:val="00A4217D"/>
    <w:rsid w:val="00A42595"/>
    <w:rsid w:val="00A4279B"/>
    <w:rsid w:val="00A42D11"/>
    <w:rsid w:val="00A42E5D"/>
    <w:rsid w:val="00A43D91"/>
    <w:rsid w:val="00A43F91"/>
    <w:rsid w:val="00A44D84"/>
    <w:rsid w:val="00A44DB4"/>
    <w:rsid w:val="00A4544B"/>
    <w:rsid w:val="00A45461"/>
    <w:rsid w:val="00A45789"/>
    <w:rsid w:val="00A45937"/>
    <w:rsid w:val="00A45D5F"/>
    <w:rsid w:val="00A46478"/>
    <w:rsid w:val="00A46E65"/>
    <w:rsid w:val="00A46FBE"/>
    <w:rsid w:val="00A478D6"/>
    <w:rsid w:val="00A500DD"/>
    <w:rsid w:val="00A511F4"/>
    <w:rsid w:val="00A515D8"/>
    <w:rsid w:val="00A51B5D"/>
    <w:rsid w:val="00A52AAC"/>
    <w:rsid w:val="00A532FB"/>
    <w:rsid w:val="00A54304"/>
    <w:rsid w:val="00A545AA"/>
    <w:rsid w:val="00A54BE6"/>
    <w:rsid w:val="00A554F9"/>
    <w:rsid w:val="00A56498"/>
    <w:rsid w:val="00A56CCE"/>
    <w:rsid w:val="00A56F69"/>
    <w:rsid w:val="00A56FAA"/>
    <w:rsid w:val="00A56FCF"/>
    <w:rsid w:val="00A57B3B"/>
    <w:rsid w:val="00A60585"/>
    <w:rsid w:val="00A608AB"/>
    <w:rsid w:val="00A609BA"/>
    <w:rsid w:val="00A60F92"/>
    <w:rsid w:val="00A610CF"/>
    <w:rsid w:val="00A61226"/>
    <w:rsid w:val="00A61537"/>
    <w:rsid w:val="00A61574"/>
    <w:rsid w:val="00A61638"/>
    <w:rsid w:val="00A61E08"/>
    <w:rsid w:val="00A628E2"/>
    <w:rsid w:val="00A62CEF"/>
    <w:rsid w:val="00A6345B"/>
    <w:rsid w:val="00A635BD"/>
    <w:rsid w:val="00A6374C"/>
    <w:rsid w:val="00A6380A"/>
    <w:rsid w:val="00A63B81"/>
    <w:rsid w:val="00A63D68"/>
    <w:rsid w:val="00A64304"/>
    <w:rsid w:val="00A64730"/>
    <w:rsid w:val="00A64D24"/>
    <w:rsid w:val="00A65360"/>
    <w:rsid w:val="00A65CDC"/>
    <w:rsid w:val="00A66576"/>
    <w:rsid w:val="00A67296"/>
    <w:rsid w:val="00A672DF"/>
    <w:rsid w:val="00A67A72"/>
    <w:rsid w:val="00A67C41"/>
    <w:rsid w:val="00A709D8"/>
    <w:rsid w:val="00A70EC9"/>
    <w:rsid w:val="00A71399"/>
    <w:rsid w:val="00A72A87"/>
    <w:rsid w:val="00A72C2B"/>
    <w:rsid w:val="00A73982"/>
    <w:rsid w:val="00A73B7F"/>
    <w:rsid w:val="00A741F0"/>
    <w:rsid w:val="00A74206"/>
    <w:rsid w:val="00A749C8"/>
    <w:rsid w:val="00A74E65"/>
    <w:rsid w:val="00A755D4"/>
    <w:rsid w:val="00A757AA"/>
    <w:rsid w:val="00A75CA8"/>
    <w:rsid w:val="00A76606"/>
    <w:rsid w:val="00A76AF2"/>
    <w:rsid w:val="00A76FC7"/>
    <w:rsid w:val="00A806B5"/>
    <w:rsid w:val="00A8201A"/>
    <w:rsid w:val="00A8274E"/>
    <w:rsid w:val="00A82C8D"/>
    <w:rsid w:val="00A82E19"/>
    <w:rsid w:val="00A83422"/>
    <w:rsid w:val="00A8404C"/>
    <w:rsid w:val="00A84E70"/>
    <w:rsid w:val="00A85335"/>
    <w:rsid w:val="00A8589C"/>
    <w:rsid w:val="00A85A58"/>
    <w:rsid w:val="00A861D5"/>
    <w:rsid w:val="00A8659E"/>
    <w:rsid w:val="00A86CC3"/>
    <w:rsid w:val="00A86F58"/>
    <w:rsid w:val="00A86FE5"/>
    <w:rsid w:val="00A874DF"/>
    <w:rsid w:val="00A9013C"/>
    <w:rsid w:val="00A90614"/>
    <w:rsid w:val="00A90A13"/>
    <w:rsid w:val="00A90D7B"/>
    <w:rsid w:val="00A921F2"/>
    <w:rsid w:val="00A928F6"/>
    <w:rsid w:val="00A9343D"/>
    <w:rsid w:val="00A95129"/>
    <w:rsid w:val="00A95385"/>
    <w:rsid w:val="00A95721"/>
    <w:rsid w:val="00A96BA6"/>
    <w:rsid w:val="00A9757F"/>
    <w:rsid w:val="00A97730"/>
    <w:rsid w:val="00AA09F5"/>
    <w:rsid w:val="00AA1372"/>
    <w:rsid w:val="00AA1B4D"/>
    <w:rsid w:val="00AA1D3B"/>
    <w:rsid w:val="00AA27C6"/>
    <w:rsid w:val="00AA2949"/>
    <w:rsid w:val="00AA34B0"/>
    <w:rsid w:val="00AA3862"/>
    <w:rsid w:val="00AA3AB7"/>
    <w:rsid w:val="00AA5112"/>
    <w:rsid w:val="00AA5761"/>
    <w:rsid w:val="00AA5DF2"/>
    <w:rsid w:val="00AA5F71"/>
    <w:rsid w:val="00AA6C2D"/>
    <w:rsid w:val="00AA6EBA"/>
    <w:rsid w:val="00AA745B"/>
    <w:rsid w:val="00AA7506"/>
    <w:rsid w:val="00AA7A12"/>
    <w:rsid w:val="00AA7E6B"/>
    <w:rsid w:val="00AB0349"/>
    <w:rsid w:val="00AB0FC6"/>
    <w:rsid w:val="00AB15E4"/>
    <w:rsid w:val="00AB1F0B"/>
    <w:rsid w:val="00AB2084"/>
    <w:rsid w:val="00AB2099"/>
    <w:rsid w:val="00AB2DE6"/>
    <w:rsid w:val="00AB2DF9"/>
    <w:rsid w:val="00AB4015"/>
    <w:rsid w:val="00AB4596"/>
    <w:rsid w:val="00AB5BAF"/>
    <w:rsid w:val="00AB64E9"/>
    <w:rsid w:val="00AB717C"/>
    <w:rsid w:val="00AB7D2C"/>
    <w:rsid w:val="00AC038B"/>
    <w:rsid w:val="00AC097A"/>
    <w:rsid w:val="00AC0C14"/>
    <w:rsid w:val="00AC1FB5"/>
    <w:rsid w:val="00AC2F2F"/>
    <w:rsid w:val="00AC36A4"/>
    <w:rsid w:val="00AC3E17"/>
    <w:rsid w:val="00AC40CC"/>
    <w:rsid w:val="00AC436E"/>
    <w:rsid w:val="00AC47BA"/>
    <w:rsid w:val="00AC4812"/>
    <w:rsid w:val="00AC5FEA"/>
    <w:rsid w:val="00AC600F"/>
    <w:rsid w:val="00AC63FD"/>
    <w:rsid w:val="00AC6E73"/>
    <w:rsid w:val="00AD0050"/>
    <w:rsid w:val="00AD0A41"/>
    <w:rsid w:val="00AD0EB1"/>
    <w:rsid w:val="00AD1055"/>
    <w:rsid w:val="00AD2BB3"/>
    <w:rsid w:val="00AD3768"/>
    <w:rsid w:val="00AD3806"/>
    <w:rsid w:val="00AD38C3"/>
    <w:rsid w:val="00AD3B8D"/>
    <w:rsid w:val="00AD4021"/>
    <w:rsid w:val="00AD4F20"/>
    <w:rsid w:val="00AD533B"/>
    <w:rsid w:val="00AD561B"/>
    <w:rsid w:val="00AD6BBA"/>
    <w:rsid w:val="00AD765C"/>
    <w:rsid w:val="00AD77B7"/>
    <w:rsid w:val="00AD7BA5"/>
    <w:rsid w:val="00AE0DDE"/>
    <w:rsid w:val="00AE105D"/>
    <w:rsid w:val="00AE137D"/>
    <w:rsid w:val="00AE1A9A"/>
    <w:rsid w:val="00AE1FBC"/>
    <w:rsid w:val="00AE21F6"/>
    <w:rsid w:val="00AE26D8"/>
    <w:rsid w:val="00AE289D"/>
    <w:rsid w:val="00AE29CB"/>
    <w:rsid w:val="00AE2CD2"/>
    <w:rsid w:val="00AE2D03"/>
    <w:rsid w:val="00AE3AE6"/>
    <w:rsid w:val="00AE40B9"/>
    <w:rsid w:val="00AE46A7"/>
    <w:rsid w:val="00AE4902"/>
    <w:rsid w:val="00AE64AE"/>
    <w:rsid w:val="00AE6CB8"/>
    <w:rsid w:val="00AE7100"/>
    <w:rsid w:val="00AE7822"/>
    <w:rsid w:val="00AE7B7C"/>
    <w:rsid w:val="00AF0107"/>
    <w:rsid w:val="00AF108E"/>
    <w:rsid w:val="00AF1DE1"/>
    <w:rsid w:val="00AF1F5D"/>
    <w:rsid w:val="00AF20AE"/>
    <w:rsid w:val="00AF232B"/>
    <w:rsid w:val="00AF2EB9"/>
    <w:rsid w:val="00AF436B"/>
    <w:rsid w:val="00AF4481"/>
    <w:rsid w:val="00AF48FA"/>
    <w:rsid w:val="00AF4AB9"/>
    <w:rsid w:val="00AF4BA3"/>
    <w:rsid w:val="00AF52EB"/>
    <w:rsid w:val="00AF54A6"/>
    <w:rsid w:val="00AF6F4F"/>
    <w:rsid w:val="00AF71AB"/>
    <w:rsid w:val="00AF7BEA"/>
    <w:rsid w:val="00AF7F36"/>
    <w:rsid w:val="00B007FC"/>
    <w:rsid w:val="00B01761"/>
    <w:rsid w:val="00B02669"/>
    <w:rsid w:val="00B0565A"/>
    <w:rsid w:val="00B05DBE"/>
    <w:rsid w:val="00B05F3F"/>
    <w:rsid w:val="00B06267"/>
    <w:rsid w:val="00B06625"/>
    <w:rsid w:val="00B071B6"/>
    <w:rsid w:val="00B105CE"/>
    <w:rsid w:val="00B10A81"/>
    <w:rsid w:val="00B11190"/>
    <w:rsid w:val="00B114B4"/>
    <w:rsid w:val="00B11B42"/>
    <w:rsid w:val="00B11F26"/>
    <w:rsid w:val="00B12025"/>
    <w:rsid w:val="00B1210F"/>
    <w:rsid w:val="00B127AD"/>
    <w:rsid w:val="00B12C22"/>
    <w:rsid w:val="00B133AD"/>
    <w:rsid w:val="00B144D4"/>
    <w:rsid w:val="00B145F3"/>
    <w:rsid w:val="00B15518"/>
    <w:rsid w:val="00B1562C"/>
    <w:rsid w:val="00B1578D"/>
    <w:rsid w:val="00B16FB4"/>
    <w:rsid w:val="00B179CD"/>
    <w:rsid w:val="00B20B05"/>
    <w:rsid w:val="00B20CBC"/>
    <w:rsid w:val="00B21096"/>
    <w:rsid w:val="00B21F00"/>
    <w:rsid w:val="00B227C5"/>
    <w:rsid w:val="00B23AC9"/>
    <w:rsid w:val="00B243B5"/>
    <w:rsid w:val="00B24685"/>
    <w:rsid w:val="00B255E9"/>
    <w:rsid w:val="00B25746"/>
    <w:rsid w:val="00B25AFC"/>
    <w:rsid w:val="00B25C92"/>
    <w:rsid w:val="00B25DDD"/>
    <w:rsid w:val="00B26794"/>
    <w:rsid w:val="00B26A1F"/>
    <w:rsid w:val="00B2767E"/>
    <w:rsid w:val="00B279E1"/>
    <w:rsid w:val="00B27C8E"/>
    <w:rsid w:val="00B27D0A"/>
    <w:rsid w:val="00B30E0B"/>
    <w:rsid w:val="00B31338"/>
    <w:rsid w:val="00B319BE"/>
    <w:rsid w:val="00B327B2"/>
    <w:rsid w:val="00B32B1D"/>
    <w:rsid w:val="00B32FB3"/>
    <w:rsid w:val="00B33BC7"/>
    <w:rsid w:val="00B342E4"/>
    <w:rsid w:val="00B36B78"/>
    <w:rsid w:val="00B37461"/>
    <w:rsid w:val="00B37604"/>
    <w:rsid w:val="00B378DC"/>
    <w:rsid w:val="00B37ACA"/>
    <w:rsid w:val="00B37FDA"/>
    <w:rsid w:val="00B4020B"/>
    <w:rsid w:val="00B40491"/>
    <w:rsid w:val="00B40508"/>
    <w:rsid w:val="00B40BAD"/>
    <w:rsid w:val="00B4108A"/>
    <w:rsid w:val="00B41488"/>
    <w:rsid w:val="00B41489"/>
    <w:rsid w:val="00B4209F"/>
    <w:rsid w:val="00B43503"/>
    <w:rsid w:val="00B43A6E"/>
    <w:rsid w:val="00B4433D"/>
    <w:rsid w:val="00B44DC8"/>
    <w:rsid w:val="00B450AF"/>
    <w:rsid w:val="00B457ED"/>
    <w:rsid w:val="00B45D73"/>
    <w:rsid w:val="00B464AC"/>
    <w:rsid w:val="00B46802"/>
    <w:rsid w:val="00B46BF7"/>
    <w:rsid w:val="00B47017"/>
    <w:rsid w:val="00B47179"/>
    <w:rsid w:val="00B47CC1"/>
    <w:rsid w:val="00B5077B"/>
    <w:rsid w:val="00B50928"/>
    <w:rsid w:val="00B51C07"/>
    <w:rsid w:val="00B51F79"/>
    <w:rsid w:val="00B538DA"/>
    <w:rsid w:val="00B54595"/>
    <w:rsid w:val="00B55BCE"/>
    <w:rsid w:val="00B56834"/>
    <w:rsid w:val="00B5688F"/>
    <w:rsid w:val="00B56F6B"/>
    <w:rsid w:val="00B570F6"/>
    <w:rsid w:val="00B57332"/>
    <w:rsid w:val="00B57CD0"/>
    <w:rsid w:val="00B6091A"/>
    <w:rsid w:val="00B60B3B"/>
    <w:rsid w:val="00B60CA7"/>
    <w:rsid w:val="00B60E8E"/>
    <w:rsid w:val="00B6176B"/>
    <w:rsid w:val="00B61E75"/>
    <w:rsid w:val="00B61F80"/>
    <w:rsid w:val="00B64E17"/>
    <w:rsid w:val="00B6512F"/>
    <w:rsid w:val="00B6551C"/>
    <w:rsid w:val="00B65761"/>
    <w:rsid w:val="00B659AD"/>
    <w:rsid w:val="00B6649B"/>
    <w:rsid w:val="00B67511"/>
    <w:rsid w:val="00B7037A"/>
    <w:rsid w:val="00B70434"/>
    <w:rsid w:val="00B70521"/>
    <w:rsid w:val="00B71E3E"/>
    <w:rsid w:val="00B734E4"/>
    <w:rsid w:val="00B73A2C"/>
    <w:rsid w:val="00B741B5"/>
    <w:rsid w:val="00B74604"/>
    <w:rsid w:val="00B74C00"/>
    <w:rsid w:val="00B74F3F"/>
    <w:rsid w:val="00B75287"/>
    <w:rsid w:val="00B7609C"/>
    <w:rsid w:val="00B768F6"/>
    <w:rsid w:val="00B76E7D"/>
    <w:rsid w:val="00B77C00"/>
    <w:rsid w:val="00B77F45"/>
    <w:rsid w:val="00B80145"/>
    <w:rsid w:val="00B80F4A"/>
    <w:rsid w:val="00B82C72"/>
    <w:rsid w:val="00B833AB"/>
    <w:rsid w:val="00B83597"/>
    <w:rsid w:val="00B83A9F"/>
    <w:rsid w:val="00B83EAA"/>
    <w:rsid w:val="00B84B66"/>
    <w:rsid w:val="00B84F50"/>
    <w:rsid w:val="00B84FFB"/>
    <w:rsid w:val="00B85817"/>
    <w:rsid w:val="00B85935"/>
    <w:rsid w:val="00B86D32"/>
    <w:rsid w:val="00B8733F"/>
    <w:rsid w:val="00B914BA"/>
    <w:rsid w:val="00B91A28"/>
    <w:rsid w:val="00B9278B"/>
    <w:rsid w:val="00B9291D"/>
    <w:rsid w:val="00B92B54"/>
    <w:rsid w:val="00B93F1F"/>
    <w:rsid w:val="00B94084"/>
    <w:rsid w:val="00B94BDC"/>
    <w:rsid w:val="00B95274"/>
    <w:rsid w:val="00B9592E"/>
    <w:rsid w:val="00B95BF8"/>
    <w:rsid w:val="00B95CD7"/>
    <w:rsid w:val="00B96742"/>
    <w:rsid w:val="00B970C2"/>
    <w:rsid w:val="00B97993"/>
    <w:rsid w:val="00B97EE5"/>
    <w:rsid w:val="00B97F0C"/>
    <w:rsid w:val="00BA16E9"/>
    <w:rsid w:val="00BA1F69"/>
    <w:rsid w:val="00BA211F"/>
    <w:rsid w:val="00BA237A"/>
    <w:rsid w:val="00BA2739"/>
    <w:rsid w:val="00BA2BB0"/>
    <w:rsid w:val="00BA3222"/>
    <w:rsid w:val="00BA43AB"/>
    <w:rsid w:val="00BA446E"/>
    <w:rsid w:val="00BA55CB"/>
    <w:rsid w:val="00BB057C"/>
    <w:rsid w:val="00BB0843"/>
    <w:rsid w:val="00BB0A53"/>
    <w:rsid w:val="00BB0E19"/>
    <w:rsid w:val="00BB11D5"/>
    <w:rsid w:val="00BB14E7"/>
    <w:rsid w:val="00BB1A06"/>
    <w:rsid w:val="00BB370C"/>
    <w:rsid w:val="00BB3AF3"/>
    <w:rsid w:val="00BB4C9A"/>
    <w:rsid w:val="00BB517B"/>
    <w:rsid w:val="00BB57DB"/>
    <w:rsid w:val="00BB5A79"/>
    <w:rsid w:val="00BB6337"/>
    <w:rsid w:val="00BB70BF"/>
    <w:rsid w:val="00BB71BF"/>
    <w:rsid w:val="00BB756D"/>
    <w:rsid w:val="00BB7BE7"/>
    <w:rsid w:val="00BB7CC3"/>
    <w:rsid w:val="00BC014C"/>
    <w:rsid w:val="00BC01D2"/>
    <w:rsid w:val="00BC08B9"/>
    <w:rsid w:val="00BC1435"/>
    <w:rsid w:val="00BC2657"/>
    <w:rsid w:val="00BC3768"/>
    <w:rsid w:val="00BC3976"/>
    <w:rsid w:val="00BC3C07"/>
    <w:rsid w:val="00BC59E4"/>
    <w:rsid w:val="00BC5A07"/>
    <w:rsid w:val="00BC6747"/>
    <w:rsid w:val="00BC6DB6"/>
    <w:rsid w:val="00BC7741"/>
    <w:rsid w:val="00BC7D96"/>
    <w:rsid w:val="00BD058A"/>
    <w:rsid w:val="00BD0B60"/>
    <w:rsid w:val="00BD0DDC"/>
    <w:rsid w:val="00BD13D5"/>
    <w:rsid w:val="00BD2523"/>
    <w:rsid w:val="00BD4DFF"/>
    <w:rsid w:val="00BD5072"/>
    <w:rsid w:val="00BD51D9"/>
    <w:rsid w:val="00BD5FF3"/>
    <w:rsid w:val="00BD6912"/>
    <w:rsid w:val="00BD6A53"/>
    <w:rsid w:val="00BD6B1A"/>
    <w:rsid w:val="00BD767D"/>
    <w:rsid w:val="00BD7886"/>
    <w:rsid w:val="00BE06D0"/>
    <w:rsid w:val="00BE0C10"/>
    <w:rsid w:val="00BE11AD"/>
    <w:rsid w:val="00BE135F"/>
    <w:rsid w:val="00BE2743"/>
    <w:rsid w:val="00BE3759"/>
    <w:rsid w:val="00BE3855"/>
    <w:rsid w:val="00BE38E6"/>
    <w:rsid w:val="00BE3A34"/>
    <w:rsid w:val="00BE3C0D"/>
    <w:rsid w:val="00BE3EAF"/>
    <w:rsid w:val="00BE442D"/>
    <w:rsid w:val="00BE4923"/>
    <w:rsid w:val="00BE5874"/>
    <w:rsid w:val="00BE6BA0"/>
    <w:rsid w:val="00BE74BA"/>
    <w:rsid w:val="00BE7E78"/>
    <w:rsid w:val="00BF07FB"/>
    <w:rsid w:val="00BF1F41"/>
    <w:rsid w:val="00BF2861"/>
    <w:rsid w:val="00BF2D55"/>
    <w:rsid w:val="00BF2EE1"/>
    <w:rsid w:val="00BF3774"/>
    <w:rsid w:val="00BF3FB5"/>
    <w:rsid w:val="00BF4575"/>
    <w:rsid w:val="00BF4722"/>
    <w:rsid w:val="00BF4C97"/>
    <w:rsid w:val="00BF64CB"/>
    <w:rsid w:val="00BF6884"/>
    <w:rsid w:val="00BF6DD1"/>
    <w:rsid w:val="00BF77A7"/>
    <w:rsid w:val="00BF7C60"/>
    <w:rsid w:val="00C00930"/>
    <w:rsid w:val="00C00DF2"/>
    <w:rsid w:val="00C0133F"/>
    <w:rsid w:val="00C015A6"/>
    <w:rsid w:val="00C027D3"/>
    <w:rsid w:val="00C03489"/>
    <w:rsid w:val="00C0379E"/>
    <w:rsid w:val="00C03DA2"/>
    <w:rsid w:val="00C04DEC"/>
    <w:rsid w:val="00C05E1F"/>
    <w:rsid w:val="00C0617D"/>
    <w:rsid w:val="00C0699E"/>
    <w:rsid w:val="00C1017C"/>
    <w:rsid w:val="00C10BD4"/>
    <w:rsid w:val="00C10E0C"/>
    <w:rsid w:val="00C11A7A"/>
    <w:rsid w:val="00C11E8E"/>
    <w:rsid w:val="00C120C7"/>
    <w:rsid w:val="00C12D80"/>
    <w:rsid w:val="00C13105"/>
    <w:rsid w:val="00C1339F"/>
    <w:rsid w:val="00C13FE7"/>
    <w:rsid w:val="00C14C00"/>
    <w:rsid w:val="00C14CD5"/>
    <w:rsid w:val="00C14D9E"/>
    <w:rsid w:val="00C1552D"/>
    <w:rsid w:val="00C15991"/>
    <w:rsid w:val="00C16B09"/>
    <w:rsid w:val="00C16EEF"/>
    <w:rsid w:val="00C1718C"/>
    <w:rsid w:val="00C17987"/>
    <w:rsid w:val="00C17FF1"/>
    <w:rsid w:val="00C20E06"/>
    <w:rsid w:val="00C20EFF"/>
    <w:rsid w:val="00C2103C"/>
    <w:rsid w:val="00C213CF"/>
    <w:rsid w:val="00C21653"/>
    <w:rsid w:val="00C216D4"/>
    <w:rsid w:val="00C21AA7"/>
    <w:rsid w:val="00C21D54"/>
    <w:rsid w:val="00C22C6B"/>
    <w:rsid w:val="00C23601"/>
    <w:rsid w:val="00C2381B"/>
    <w:rsid w:val="00C23E2C"/>
    <w:rsid w:val="00C24B95"/>
    <w:rsid w:val="00C25504"/>
    <w:rsid w:val="00C25522"/>
    <w:rsid w:val="00C260F8"/>
    <w:rsid w:val="00C2617F"/>
    <w:rsid w:val="00C26340"/>
    <w:rsid w:val="00C26A18"/>
    <w:rsid w:val="00C27991"/>
    <w:rsid w:val="00C279B9"/>
    <w:rsid w:val="00C30180"/>
    <w:rsid w:val="00C30B0A"/>
    <w:rsid w:val="00C30E48"/>
    <w:rsid w:val="00C315DC"/>
    <w:rsid w:val="00C317C3"/>
    <w:rsid w:val="00C3192F"/>
    <w:rsid w:val="00C32A0A"/>
    <w:rsid w:val="00C32DEB"/>
    <w:rsid w:val="00C339DF"/>
    <w:rsid w:val="00C34495"/>
    <w:rsid w:val="00C34D4A"/>
    <w:rsid w:val="00C3508B"/>
    <w:rsid w:val="00C35D46"/>
    <w:rsid w:val="00C365AE"/>
    <w:rsid w:val="00C36723"/>
    <w:rsid w:val="00C3690D"/>
    <w:rsid w:val="00C36F60"/>
    <w:rsid w:val="00C37420"/>
    <w:rsid w:val="00C401D2"/>
    <w:rsid w:val="00C40392"/>
    <w:rsid w:val="00C408B6"/>
    <w:rsid w:val="00C40C6E"/>
    <w:rsid w:val="00C414E0"/>
    <w:rsid w:val="00C4265E"/>
    <w:rsid w:val="00C426A6"/>
    <w:rsid w:val="00C42A6D"/>
    <w:rsid w:val="00C43308"/>
    <w:rsid w:val="00C43DA5"/>
    <w:rsid w:val="00C444D4"/>
    <w:rsid w:val="00C446C4"/>
    <w:rsid w:val="00C45B52"/>
    <w:rsid w:val="00C46D11"/>
    <w:rsid w:val="00C47BED"/>
    <w:rsid w:val="00C50000"/>
    <w:rsid w:val="00C50476"/>
    <w:rsid w:val="00C50724"/>
    <w:rsid w:val="00C50C19"/>
    <w:rsid w:val="00C519B8"/>
    <w:rsid w:val="00C536FC"/>
    <w:rsid w:val="00C53B13"/>
    <w:rsid w:val="00C542F1"/>
    <w:rsid w:val="00C5431C"/>
    <w:rsid w:val="00C54677"/>
    <w:rsid w:val="00C549CC"/>
    <w:rsid w:val="00C549F2"/>
    <w:rsid w:val="00C55887"/>
    <w:rsid w:val="00C56800"/>
    <w:rsid w:val="00C57886"/>
    <w:rsid w:val="00C57D06"/>
    <w:rsid w:val="00C57D11"/>
    <w:rsid w:val="00C60000"/>
    <w:rsid w:val="00C618F7"/>
    <w:rsid w:val="00C61AA8"/>
    <w:rsid w:val="00C61B32"/>
    <w:rsid w:val="00C6218E"/>
    <w:rsid w:val="00C62442"/>
    <w:rsid w:val="00C62448"/>
    <w:rsid w:val="00C62B72"/>
    <w:rsid w:val="00C63CB7"/>
    <w:rsid w:val="00C63EA7"/>
    <w:rsid w:val="00C64561"/>
    <w:rsid w:val="00C64AF2"/>
    <w:rsid w:val="00C650E5"/>
    <w:rsid w:val="00C652B5"/>
    <w:rsid w:val="00C65357"/>
    <w:rsid w:val="00C65408"/>
    <w:rsid w:val="00C65FBB"/>
    <w:rsid w:val="00C66031"/>
    <w:rsid w:val="00C66412"/>
    <w:rsid w:val="00C664AA"/>
    <w:rsid w:val="00C665AC"/>
    <w:rsid w:val="00C66C39"/>
    <w:rsid w:val="00C66E7F"/>
    <w:rsid w:val="00C70051"/>
    <w:rsid w:val="00C70205"/>
    <w:rsid w:val="00C7066C"/>
    <w:rsid w:val="00C70C93"/>
    <w:rsid w:val="00C71134"/>
    <w:rsid w:val="00C71724"/>
    <w:rsid w:val="00C71B3A"/>
    <w:rsid w:val="00C71E0D"/>
    <w:rsid w:val="00C71E54"/>
    <w:rsid w:val="00C727AF"/>
    <w:rsid w:val="00C72CE1"/>
    <w:rsid w:val="00C73309"/>
    <w:rsid w:val="00C738A3"/>
    <w:rsid w:val="00C74424"/>
    <w:rsid w:val="00C7472D"/>
    <w:rsid w:val="00C748E9"/>
    <w:rsid w:val="00C757E7"/>
    <w:rsid w:val="00C76EDC"/>
    <w:rsid w:val="00C77010"/>
    <w:rsid w:val="00C770BD"/>
    <w:rsid w:val="00C77AA7"/>
    <w:rsid w:val="00C80143"/>
    <w:rsid w:val="00C80A65"/>
    <w:rsid w:val="00C80B42"/>
    <w:rsid w:val="00C81003"/>
    <w:rsid w:val="00C81AC6"/>
    <w:rsid w:val="00C82050"/>
    <w:rsid w:val="00C8271F"/>
    <w:rsid w:val="00C82CD0"/>
    <w:rsid w:val="00C82F8C"/>
    <w:rsid w:val="00C83959"/>
    <w:rsid w:val="00C83D3F"/>
    <w:rsid w:val="00C842D2"/>
    <w:rsid w:val="00C84F8C"/>
    <w:rsid w:val="00C85D26"/>
    <w:rsid w:val="00C85D33"/>
    <w:rsid w:val="00C86662"/>
    <w:rsid w:val="00C86E9F"/>
    <w:rsid w:val="00C86F0A"/>
    <w:rsid w:val="00C87576"/>
    <w:rsid w:val="00C8773F"/>
    <w:rsid w:val="00C900F1"/>
    <w:rsid w:val="00C9114D"/>
    <w:rsid w:val="00C912F9"/>
    <w:rsid w:val="00C91C77"/>
    <w:rsid w:val="00C92081"/>
    <w:rsid w:val="00C92FC2"/>
    <w:rsid w:val="00C931B4"/>
    <w:rsid w:val="00C937EA"/>
    <w:rsid w:val="00C93EF4"/>
    <w:rsid w:val="00C93F02"/>
    <w:rsid w:val="00C948F9"/>
    <w:rsid w:val="00C94BB6"/>
    <w:rsid w:val="00C9566A"/>
    <w:rsid w:val="00C95843"/>
    <w:rsid w:val="00C97105"/>
    <w:rsid w:val="00C97806"/>
    <w:rsid w:val="00C97ED1"/>
    <w:rsid w:val="00CA042C"/>
    <w:rsid w:val="00CA0C09"/>
    <w:rsid w:val="00CA0CF4"/>
    <w:rsid w:val="00CA0E57"/>
    <w:rsid w:val="00CA109A"/>
    <w:rsid w:val="00CA19E5"/>
    <w:rsid w:val="00CA1A40"/>
    <w:rsid w:val="00CA1A86"/>
    <w:rsid w:val="00CA1E7C"/>
    <w:rsid w:val="00CA2DC4"/>
    <w:rsid w:val="00CA3070"/>
    <w:rsid w:val="00CA3676"/>
    <w:rsid w:val="00CA3AFF"/>
    <w:rsid w:val="00CA407A"/>
    <w:rsid w:val="00CA466D"/>
    <w:rsid w:val="00CA6579"/>
    <w:rsid w:val="00CA65A4"/>
    <w:rsid w:val="00CA65AE"/>
    <w:rsid w:val="00CA662A"/>
    <w:rsid w:val="00CA684A"/>
    <w:rsid w:val="00CA70C2"/>
    <w:rsid w:val="00CA71D2"/>
    <w:rsid w:val="00CA772F"/>
    <w:rsid w:val="00CA78CB"/>
    <w:rsid w:val="00CB0298"/>
    <w:rsid w:val="00CB04E3"/>
    <w:rsid w:val="00CB0846"/>
    <w:rsid w:val="00CB109E"/>
    <w:rsid w:val="00CB2B0A"/>
    <w:rsid w:val="00CB2E4D"/>
    <w:rsid w:val="00CB3259"/>
    <w:rsid w:val="00CB3518"/>
    <w:rsid w:val="00CB3E82"/>
    <w:rsid w:val="00CB549E"/>
    <w:rsid w:val="00CB619A"/>
    <w:rsid w:val="00CB65BA"/>
    <w:rsid w:val="00CB667E"/>
    <w:rsid w:val="00CB7223"/>
    <w:rsid w:val="00CB764F"/>
    <w:rsid w:val="00CB771F"/>
    <w:rsid w:val="00CC08CF"/>
    <w:rsid w:val="00CC2275"/>
    <w:rsid w:val="00CC2B02"/>
    <w:rsid w:val="00CC3049"/>
    <w:rsid w:val="00CC30FA"/>
    <w:rsid w:val="00CC3249"/>
    <w:rsid w:val="00CC326A"/>
    <w:rsid w:val="00CC3337"/>
    <w:rsid w:val="00CC3777"/>
    <w:rsid w:val="00CC37C7"/>
    <w:rsid w:val="00CC3BA5"/>
    <w:rsid w:val="00CC3DA0"/>
    <w:rsid w:val="00CC41C9"/>
    <w:rsid w:val="00CC4217"/>
    <w:rsid w:val="00CC4B76"/>
    <w:rsid w:val="00CC5BE3"/>
    <w:rsid w:val="00CC5DA6"/>
    <w:rsid w:val="00CC6388"/>
    <w:rsid w:val="00CC647A"/>
    <w:rsid w:val="00CC71F9"/>
    <w:rsid w:val="00CD1111"/>
    <w:rsid w:val="00CD28E9"/>
    <w:rsid w:val="00CD35C0"/>
    <w:rsid w:val="00CD3634"/>
    <w:rsid w:val="00CD435A"/>
    <w:rsid w:val="00CD4724"/>
    <w:rsid w:val="00CD4962"/>
    <w:rsid w:val="00CD4C2C"/>
    <w:rsid w:val="00CD4F68"/>
    <w:rsid w:val="00CD544B"/>
    <w:rsid w:val="00CD5CB0"/>
    <w:rsid w:val="00CD62BB"/>
    <w:rsid w:val="00CD6478"/>
    <w:rsid w:val="00CD6633"/>
    <w:rsid w:val="00CD6839"/>
    <w:rsid w:val="00CD6C7C"/>
    <w:rsid w:val="00CD70E5"/>
    <w:rsid w:val="00CD7C83"/>
    <w:rsid w:val="00CD7DDF"/>
    <w:rsid w:val="00CE1386"/>
    <w:rsid w:val="00CE1C5F"/>
    <w:rsid w:val="00CE2032"/>
    <w:rsid w:val="00CE287A"/>
    <w:rsid w:val="00CE2AB2"/>
    <w:rsid w:val="00CE3161"/>
    <w:rsid w:val="00CE3E3F"/>
    <w:rsid w:val="00CE3FA1"/>
    <w:rsid w:val="00CE4699"/>
    <w:rsid w:val="00CE4B14"/>
    <w:rsid w:val="00CE4D79"/>
    <w:rsid w:val="00CE560A"/>
    <w:rsid w:val="00CE5A64"/>
    <w:rsid w:val="00CE64BC"/>
    <w:rsid w:val="00CE69EE"/>
    <w:rsid w:val="00CE75D3"/>
    <w:rsid w:val="00CE78E0"/>
    <w:rsid w:val="00CF0795"/>
    <w:rsid w:val="00CF0EF6"/>
    <w:rsid w:val="00CF10E7"/>
    <w:rsid w:val="00CF114A"/>
    <w:rsid w:val="00CF1F13"/>
    <w:rsid w:val="00CF2027"/>
    <w:rsid w:val="00CF25B1"/>
    <w:rsid w:val="00CF264F"/>
    <w:rsid w:val="00CF2851"/>
    <w:rsid w:val="00CF2C16"/>
    <w:rsid w:val="00CF2C58"/>
    <w:rsid w:val="00CF3C43"/>
    <w:rsid w:val="00CF4F5E"/>
    <w:rsid w:val="00CF51CD"/>
    <w:rsid w:val="00CF6CF7"/>
    <w:rsid w:val="00CF7866"/>
    <w:rsid w:val="00D00CCE"/>
    <w:rsid w:val="00D00E64"/>
    <w:rsid w:val="00D01F2F"/>
    <w:rsid w:val="00D025DE"/>
    <w:rsid w:val="00D02B98"/>
    <w:rsid w:val="00D03080"/>
    <w:rsid w:val="00D03880"/>
    <w:rsid w:val="00D04C20"/>
    <w:rsid w:val="00D05D77"/>
    <w:rsid w:val="00D06573"/>
    <w:rsid w:val="00D06E13"/>
    <w:rsid w:val="00D07048"/>
    <w:rsid w:val="00D07279"/>
    <w:rsid w:val="00D07483"/>
    <w:rsid w:val="00D10D8C"/>
    <w:rsid w:val="00D11444"/>
    <w:rsid w:val="00D11468"/>
    <w:rsid w:val="00D11B75"/>
    <w:rsid w:val="00D12479"/>
    <w:rsid w:val="00D12C52"/>
    <w:rsid w:val="00D13B87"/>
    <w:rsid w:val="00D14EEE"/>
    <w:rsid w:val="00D156CF"/>
    <w:rsid w:val="00D15799"/>
    <w:rsid w:val="00D16713"/>
    <w:rsid w:val="00D16A77"/>
    <w:rsid w:val="00D16DA5"/>
    <w:rsid w:val="00D1713A"/>
    <w:rsid w:val="00D17DE0"/>
    <w:rsid w:val="00D20A61"/>
    <w:rsid w:val="00D220D1"/>
    <w:rsid w:val="00D226A0"/>
    <w:rsid w:val="00D22853"/>
    <w:rsid w:val="00D22C90"/>
    <w:rsid w:val="00D2307F"/>
    <w:rsid w:val="00D239A5"/>
    <w:rsid w:val="00D239B4"/>
    <w:rsid w:val="00D24813"/>
    <w:rsid w:val="00D24D19"/>
    <w:rsid w:val="00D25830"/>
    <w:rsid w:val="00D2592C"/>
    <w:rsid w:val="00D25B58"/>
    <w:rsid w:val="00D25DA7"/>
    <w:rsid w:val="00D2721A"/>
    <w:rsid w:val="00D274F7"/>
    <w:rsid w:val="00D27732"/>
    <w:rsid w:val="00D27A20"/>
    <w:rsid w:val="00D30BA1"/>
    <w:rsid w:val="00D30C45"/>
    <w:rsid w:val="00D31099"/>
    <w:rsid w:val="00D31D40"/>
    <w:rsid w:val="00D31F4B"/>
    <w:rsid w:val="00D32045"/>
    <w:rsid w:val="00D3277E"/>
    <w:rsid w:val="00D3304F"/>
    <w:rsid w:val="00D3317A"/>
    <w:rsid w:val="00D3377B"/>
    <w:rsid w:val="00D3382A"/>
    <w:rsid w:val="00D34062"/>
    <w:rsid w:val="00D3485F"/>
    <w:rsid w:val="00D34D3F"/>
    <w:rsid w:val="00D3567D"/>
    <w:rsid w:val="00D36ACB"/>
    <w:rsid w:val="00D36DEB"/>
    <w:rsid w:val="00D36EB3"/>
    <w:rsid w:val="00D370AA"/>
    <w:rsid w:val="00D37DFB"/>
    <w:rsid w:val="00D4067F"/>
    <w:rsid w:val="00D41C77"/>
    <w:rsid w:val="00D41D6F"/>
    <w:rsid w:val="00D42C37"/>
    <w:rsid w:val="00D43360"/>
    <w:rsid w:val="00D4360D"/>
    <w:rsid w:val="00D44663"/>
    <w:rsid w:val="00D45537"/>
    <w:rsid w:val="00D467FA"/>
    <w:rsid w:val="00D46AFB"/>
    <w:rsid w:val="00D47E30"/>
    <w:rsid w:val="00D5165D"/>
    <w:rsid w:val="00D517D6"/>
    <w:rsid w:val="00D51C5B"/>
    <w:rsid w:val="00D5279E"/>
    <w:rsid w:val="00D52A0C"/>
    <w:rsid w:val="00D531BF"/>
    <w:rsid w:val="00D532D0"/>
    <w:rsid w:val="00D5389C"/>
    <w:rsid w:val="00D54127"/>
    <w:rsid w:val="00D5433B"/>
    <w:rsid w:val="00D5433F"/>
    <w:rsid w:val="00D54340"/>
    <w:rsid w:val="00D5482E"/>
    <w:rsid w:val="00D54895"/>
    <w:rsid w:val="00D54ADF"/>
    <w:rsid w:val="00D553F6"/>
    <w:rsid w:val="00D559EE"/>
    <w:rsid w:val="00D55FCE"/>
    <w:rsid w:val="00D5638D"/>
    <w:rsid w:val="00D56832"/>
    <w:rsid w:val="00D5749A"/>
    <w:rsid w:val="00D57D5D"/>
    <w:rsid w:val="00D604C2"/>
    <w:rsid w:val="00D60AC0"/>
    <w:rsid w:val="00D61136"/>
    <w:rsid w:val="00D61E08"/>
    <w:rsid w:val="00D62389"/>
    <w:rsid w:val="00D6286D"/>
    <w:rsid w:val="00D628F7"/>
    <w:rsid w:val="00D62C2B"/>
    <w:rsid w:val="00D64933"/>
    <w:rsid w:val="00D655BE"/>
    <w:rsid w:val="00D66F02"/>
    <w:rsid w:val="00D6733C"/>
    <w:rsid w:val="00D67AB9"/>
    <w:rsid w:val="00D67DC3"/>
    <w:rsid w:val="00D703A8"/>
    <w:rsid w:val="00D70B9D"/>
    <w:rsid w:val="00D70E8F"/>
    <w:rsid w:val="00D71D85"/>
    <w:rsid w:val="00D72341"/>
    <w:rsid w:val="00D7289F"/>
    <w:rsid w:val="00D72FC8"/>
    <w:rsid w:val="00D733C4"/>
    <w:rsid w:val="00D73F6E"/>
    <w:rsid w:val="00D7414A"/>
    <w:rsid w:val="00D7452D"/>
    <w:rsid w:val="00D747F7"/>
    <w:rsid w:val="00D75464"/>
    <w:rsid w:val="00D75BDB"/>
    <w:rsid w:val="00D75F4C"/>
    <w:rsid w:val="00D761A7"/>
    <w:rsid w:val="00D76520"/>
    <w:rsid w:val="00D76797"/>
    <w:rsid w:val="00D76EBC"/>
    <w:rsid w:val="00D771D5"/>
    <w:rsid w:val="00D775CD"/>
    <w:rsid w:val="00D777F4"/>
    <w:rsid w:val="00D77C48"/>
    <w:rsid w:val="00D77E88"/>
    <w:rsid w:val="00D8067D"/>
    <w:rsid w:val="00D80D75"/>
    <w:rsid w:val="00D818E6"/>
    <w:rsid w:val="00D83014"/>
    <w:rsid w:val="00D832CF"/>
    <w:rsid w:val="00D83728"/>
    <w:rsid w:val="00D84721"/>
    <w:rsid w:val="00D84935"/>
    <w:rsid w:val="00D84ECA"/>
    <w:rsid w:val="00D84FF0"/>
    <w:rsid w:val="00D851CB"/>
    <w:rsid w:val="00D85909"/>
    <w:rsid w:val="00D85E21"/>
    <w:rsid w:val="00D8691A"/>
    <w:rsid w:val="00D86C0C"/>
    <w:rsid w:val="00D86E8B"/>
    <w:rsid w:val="00D87F45"/>
    <w:rsid w:val="00D90290"/>
    <w:rsid w:val="00D91A7C"/>
    <w:rsid w:val="00D92CDD"/>
    <w:rsid w:val="00D93350"/>
    <w:rsid w:val="00D93886"/>
    <w:rsid w:val="00D93AF2"/>
    <w:rsid w:val="00D93C8C"/>
    <w:rsid w:val="00D93F2D"/>
    <w:rsid w:val="00D94065"/>
    <w:rsid w:val="00D94965"/>
    <w:rsid w:val="00D95669"/>
    <w:rsid w:val="00D95ABE"/>
    <w:rsid w:val="00D96782"/>
    <w:rsid w:val="00D97520"/>
    <w:rsid w:val="00DA0794"/>
    <w:rsid w:val="00DA086A"/>
    <w:rsid w:val="00DA0920"/>
    <w:rsid w:val="00DA0A3A"/>
    <w:rsid w:val="00DA0B6E"/>
    <w:rsid w:val="00DA0E0D"/>
    <w:rsid w:val="00DA1030"/>
    <w:rsid w:val="00DA10A2"/>
    <w:rsid w:val="00DA157A"/>
    <w:rsid w:val="00DA1AC5"/>
    <w:rsid w:val="00DA21F7"/>
    <w:rsid w:val="00DA48DD"/>
    <w:rsid w:val="00DA5363"/>
    <w:rsid w:val="00DA6528"/>
    <w:rsid w:val="00DA68E5"/>
    <w:rsid w:val="00DA6A1C"/>
    <w:rsid w:val="00DA7FE8"/>
    <w:rsid w:val="00DB02B5"/>
    <w:rsid w:val="00DB1274"/>
    <w:rsid w:val="00DB2856"/>
    <w:rsid w:val="00DB3A44"/>
    <w:rsid w:val="00DB48E5"/>
    <w:rsid w:val="00DB4A51"/>
    <w:rsid w:val="00DB6097"/>
    <w:rsid w:val="00DB634A"/>
    <w:rsid w:val="00DB6E66"/>
    <w:rsid w:val="00DB7976"/>
    <w:rsid w:val="00DB7E6A"/>
    <w:rsid w:val="00DC2BDA"/>
    <w:rsid w:val="00DC55C3"/>
    <w:rsid w:val="00DC5C4D"/>
    <w:rsid w:val="00DC5C69"/>
    <w:rsid w:val="00DC5D32"/>
    <w:rsid w:val="00DC5D75"/>
    <w:rsid w:val="00DC6135"/>
    <w:rsid w:val="00DC6166"/>
    <w:rsid w:val="00DC61B3"/>
    <w:rsid w:val="00DC640E"/>
    <w:rsid w:val="00DC69C5"/>
    <w:rsid w:val="00DC7E53"/>
    <w:rsid w:val="00DC7ECB"/>
    <w:rsid w:val="00DD02D7"/>
    <w:rsid w:val="00DD094B"/>
    <w:rsid w:val="00DD0FFB"/>
    <w:rsid w:val="00DD124F"/>
    <w:rsid w:val="00DD192D"/>
    <w:rsid w:val="00DD2BB2"/>
    <w:rsid w:val="00DD3053"/>
    <w:rsid w:val="00DD384D"/>
    <w:rsid w:val="00DD3C3B"/>
    <w:rsid w:val="00DD3E11"/>
    <w:rsid w:val="00DD4519"/>
    <w:rsid w:val="00DD4714"/>
    <w:rsid w:val="00DD549A"/>
    <w:rsid w:val="00DD7E2B"/>
    <w:rsid w:val="00DE0540"/>
    <w:rsid w:val="00DE133A"/>
    <w:rsid w:val="00DE17F4"/>
    <w:rsid w:val="00DE1A57"/>
    <w:rsid w:val="00DE1AE7"/>
    <w:rsid w:val="00DE1F2F"/>
    <w:rsid w:val="00DE3907"/>
    <w:rsid w:val="00DE3EE1"/>
    <w:rsid w:val="00DE3F39"/>
    <w:rsid w:val="00DE41E2"/>
    <w:rsid w:val="00DE5792"/>
    <w:rsid w:val="00DE677E"/>
    <w:rsid w:val="00DE7966"/>
    <w:rsid w:val="00DE7A2F"/>
    <w:rsid w:val="00DF0343"/>
    <w:rsid w:val="00DF0D0C"/>
    <w:rsid w:val="00DF0D82"/>
    <w:rsid w:val="00DF0FE3"/>
    <w:rsid w:val="00DF1113"/>
    <w:rsid w:val="00DF21CF"/>
    <w:rsid w:val="00DF3BA0"/>
    <w:rsid w:val="00DF3E71"/>
    <w:rsid w:val="00DF446E"/>
    <w:rsid w:val="00DF4FCD"/>
    <w:rsid w:val="00DF5BAB"/>
    <w:rsid w:val="00DF60A8"/>
    <w:rsid w:val="00DF77C9"/>
    <w:rsid w:val="00E00BFD"/>
    <w:rsid w:val="00E01043"/>
    <w:rsid w:val="00E016E8"/>
    <w:rsid w:val="00E0179E"/>
    <w:rsid w:val="00E01EEF"/>
    <w:rsid w:val="00E02652"/>
    <w:rsid w:val="00E02708"/>
    <w:rsid w:val="00E027FA"/>
    <w:rsid w:val="00E0280E"/>
    <w:rsid w:val="00E02FB9"/>
    <w:rsid w:val="00E04BD0"/>
    <w:rsid w:val="00E04BEA"/>
    <w:rsid w:val="00E050D9"/>
    <w:rsid w:val="00E054D5"/>
    <w:rsid w:val="00E05C66"/>
    <w:rsid w:val="00E07BC2"/>
    <w:rsid w:val="00E10E6B"/>
    <w:rsid w:val="00E10E92"/>
    <w:rsid w:val="00E1135F"/>
    <w:rsid w:val="00E11931"/>
    <w:rsid w:val="00E12045"/>
    <w:rsid w:val="00E120B0"/>
    <w:rsid w:val="00E128E8"/>
    <w:rsid w:val="00E12901"/>
    <w:rsid w:val="00E12A69"/>
    <w:rsid w:val="00E1328D"/>
    <w:rsid w:val="00E1333D"/>
    <w:rsid w:val="00E13699"/>
    <w:rsid w:val="00E13725"/>
    <w:rsid w:val="00E14C26"/>
    <w:rsid w:val="00E15F96"/>
    <w:rsid w:val="00E15FB6"/>
    <w:rsid w:val="00E15FE9"/>
    <w:rsid w:val="00E17DF9"/>
    <w:rsid w:val="00E21161"/>
    <w:rsid w:val="00E21952"/>
    <w:rsid w:val="00E21DBA"/>
    <w:rsid w:val="00E22BF0"/>
    <w:rsid w:val="00E232FC"/>
    <w:rsid w:val="00E23F3B"/>
    <w:rsid w:val="00E23F68"/>
    <w:rsid w:val="00E24231"/>
    <w:rsid w:val="00E25477"/>
    <w:rsid w:val="00E26111"/>
    <w:rsid w:val="00E266C0"/>
    <w:rsid w:val="00E2690A"/>
    <w:rsid w:val="00E2781E"/>
    <w:rsid w:val="00E27D61"/>
    <w:rsid w:val="00E306AE"/>
    <w:rsid w:val="00E30CA0"/>
    <w:rsid w:val="00E30FDA"/>
    <w:rsid w:val="00E31901"/>
    <w:rsid w:val="00E32E9E"/>
    <w:rsid w:val="00E33156"/>
    <w:rsid w:val="00E335BC"/>
    <w:rsid w:val="00E339E9"/>
    <w:rsid w:val="00E33F9D"/>
    <w:rsid w:val="00E34824"/>
    <w:rsid w:val="00E34A93"/>
    <w:rsid w:val="00E356B7"/>
    <w:rsid w:val="00E35742"/>
    <w:rsid w:val="00E35818"/>
    <w:rsid w:val="00E35A63"/>
    <w:rsid w:val="00E35B8E"/>
    <w:rsid w:val="00E36022"/>
    <w:rsid w:val="00E368A4"/>
    <w:rsid w:val="00E368EB"/>
    <w:rsid w:val="00E36D07"/>
    <w:rsid w:val="00E36DE0"/>
    <w:rsid w:val="00E373EF"/>
    <w:rsid w:val="00E37FF7"/>
    <w:rsid w:val="00E40A84"/>
    <w:rsid w:val="00E41825"/>
    <w:rsid w:val="00E419EC"/>
    <w:rsid w:val="00E43CC7"/>
    <w:rsid w:val="00E43EE7"/>
    <w:rsid w:val="00E4421A"/>
    <w:rsid w:val="00E45E45"/>
    <w:rsid w:val="00E4679F"/>
    <w:rsid w:val="00E46E06"/>
    <w:rsid w:val="00E46E77"/>
    <w:rsid w:val="00E47250"/>
    <w:rsid w:val="00E475DF"/>
    <w:rsid w:val="00E47840"/>
    <w:rsid w:val="00E5079F"/>
    <w:rsid w:val="00E512DF"/>
    <w:rsid w:val="00E521D3"/>
    <w:rsid w:val="00E523EA"/>
    <w:rsid w:val="00E52519"/>
    <w:rsid w:val="00E5310C"/>
    <w:rsid w:val="00E5325B"/>
    <w:rsid w:val="00E536C9"/>
    <w:rsid w:val="00E5462E"/>
    <w:rsid w:val="00E554E9"/>
    <w:rsid w:val="00E56122"/>
    <w:rsid w:val="00E56ADE"/>
    <w:rsid w:val="00E56CE5"/>
    <w:rsid w:val="00E57205"/>
    <w:rsid w:val="00E577EE"/>
    <w:rsid w:val="00E57C3F"/>
    <w:rsid w:val="00E57C43"/>
    <w:rsid w:val="00E6078F"/>
    <w:rsid w:val="00E6092F"/>
    <w:rsid w:val="00E60E23"/>
    <w:rsid w:val="00E612E9"/>
    <w:rsid w:val="00E615EB"/>
    <w:rsid w:val="00E61700"/>
    <w:rsid w:val="00E619EA"/>
    <w:rsid w:val="00E61B87"/>
    <w:rsid w:val="00E62186"/>
    <w:rsid w:val="00E62725"/>
    <w:rsid w:val="00E63333"/>
    <w:rsid w:val="00E648B4"/>
    <w:rsid w:val="00E65B4C"/>
    <w:rsid w:val="00E66DDD"/>
    <w:rsid w:val="00E66E3A"/>
    <w:rsid w:val="00E672D8"/>
    <w:rsid w:val="00E672F8"/>
    <w:rsid w:val="00E673A0"/>
    <w:rsid w:val="00E701EA"/>
    <w:rsid w:val="00E705AA"/>
    <w:rsid w:val="00E722B5"/>
    <w:rsid w:val="00E72A4E"/>
    <w:rsid w:val="00E72E9F"/>
    <w:rsid w:val="00E7468E"/>
    <w:rsid w:val="00E754BA"/>
    <w:rsid w:val="00E76103"/>
    <w:rsid w:val="00E76229"/>
    <w:rsid w:val="00E76CED"/>
    <w:rsid w:val="00E76F7C"/>
    <w:rsid w:val="00E7718A"/>
    <w:rsid w:val="00E77199"/>
    <w:rsid w:val="00E80254"/>
    <w:rsid w:val="00E80AC3"/>
    <w:rsid w:val="00E81183"/>
    <w:rsid w:val="00E81B2C"/>
    <w:rsid w:val="00E824CE"/>
    <w:rsid w:val="00E826B4"/>
    <w:rsid w:val="00E83139"/>
    <w:rsid w:val="00E84721"/>
    <w:rsid w:val="00E84976"/>
    <w:rsid w:val="00E85566"/>
    <w:rsid w:val="00E85D1B"/>
    <w:rsid w:val="00E86EC9"/>
    <w:rsid w:val="00E86FA1"/>
    <w:rsid w:val="00E90F3D"/>
    <w:rsid w:val="00E91E06"/>
    <w:rsid w:val="00E91E66"/>
    <w:rsid w:val="00E91EE7"/>
    <w:rsid w:val="00E927D0"/>
    <w:rsid w:val="00E92B92"/>
    <w:rsid w:val="00E930BC"/>
    <w:rsid w:val="00E9371B"/>
    <w:rsid w:val="00E94123"/>
    <w:rsid w:val="00E9587D"/>
    <w:rsid w:val="00E96A84"/>
    <w:rsid w:val="00E9784F"/>
    <w:rsid w:val="00EA0518"/>
    <w:rsid w:val="00EA0540"/>
    <w:rsid w:val="00EA080D"/>
    <w:rsid w:val="00EA10A8"/>
    <w:rsid w:val="00EA14B6"/>
    <w:rsid w:val="00EA2234"/>
    <w:rsid w:val="00EA23DE"/>
    <w:rsid w:val="00EA37EC"/>
    <w:rsid w:val="00EA4B2C"/>
    <w:rsid w:val="00EA4BEC"/>
    <w:rsid w:val="00EA4EA5"/>
    <w:rsid w:val="00EA4F34"/>
    <w:rsid w:val="00EA5BC4"/>
    <w:rsid w:val="00EA5E3C"/>
    <w:rsid w:val="00EA5F47"/>
    <w:rsid w:val="00EA66FD"/>
    <w:rsid w:val="00EA6B7C"/>
    <w:rsid w:val="00EA7ABD"/>
    <w:rsid w:val="00EB0234"/>
    <w:rsid w:val="00EB0E9D"/>
    <w:rsid w:val="00EB0FC0"/>
    <w:rsid w:val="00EB17F6"/>
    <w:rsid w:val="00EB1DBC"/>
    <w:rsid w:val="00EB2068"/>
    <w:rsid w:val="00EB2E29"/>
    <w:rsid w:val="00EB3E52"/>
    <w:rsid w:val="00EB3F59"/>
    <w:rsid w:val="00EB4331"/>
    <w:rsid w:val="00EB4603"/>
    <w:rsid w:val="00EB48BB"/>
    <w:rsid w:val="00EB4E2F"/>
    <w:rsid w:val="00EB5315"/>
    <w:rsid w:val="00EB56EB"/>
    <w:rsid w:val="00EB71FD"/>
    <w:rsid w:val="00EB7758"/>
    <w:rsid w:val="00EB79FD"/>
    <w:rsid w:val="00EB7C7C"/>
    <w:rsid w:val="00EC11C1"/>
    <w:rsid w:val="00EC188D"/>
    <w:rsid w:val="00EC1EBE"/>
    <w:rsid w:val="00EC37EC"/>
    <w:rsid w:val="00EC3AFE"/>
    <w:rsid w:val="00EC45F7"/>
    <w:rsid w:val="00EC48DB"/>
    <w:rsid w:val="00EC5BA0"/>
    <w:rsid w:val="00EC6B54"/>
    <w:rsid w:val="00EC6FFF"/>
    <w:rsid w:val="00EC7257"/>
    <w:rsid w:val="00EC75EF"/>
    <w:rsid w:val="00EC79D2"/>
    <w:rsid w:val="00EC7E82"/>
    <w:rsid w:val="00EC7FE6"/>
    <w:rsid w:val="00ED1FDB"/>
    <w:rsid w:val="00ED2140"/>
    <w:rsid w:val="00ED2468"/>
    <w:rsid w:val="00ED2C4B"/>
    <w:rsid w:val="00ED3187"/>
    <w:rsid w:val="00ED4145"/>
    <w:rsid w:val="00ED5D6E"/>
    <w:rsid w:val="00ED6075"/>
    <w:rsid w:val="00ED6580"/>
    <w:rsid w:val="00ED6AE2"/>
    <w:rsid w:val="00ED73C5"/>
    <w:rsid w:val="00ED74B8"/>
    <w:rsid w:val="00ED7AE6"/>
    <w:rsid w:val="00ED7D46"/>
    <w:rsid w:val="00EE033F"/>
    <w:rsid w:val="00EE0372"/>
    <w:rsid w:val="00EE0619"/>
    <w:rsid w:val="00EE0C16"/>
    <w:rsid w:val="00EE104A"/>
    <w:rsid w:val="00EE1198"/>
    <w:rsid w:val="00EE14E9"/>
    <w:rsid w:val="00EE22D6"/>
    <w:rsid w:val="00EE31CC"/>
    <w:rsid w:val="00EE4509"/>
    <w:rsid w:val="00EE4570"/>
    <w:rsid w:val="00EE49BD"/>
    <w:rsid w:val="00EE5B1C"/>
    <w:rsid w:val="00EE67ED"/>
    <w:rsid w:val="00EE6811"/>
    <w:rsid w:val="00EE776A"/>
    <w:rsid w:val="00EE77C9"/>
    <w:rsid w:val="00EE7DBF"/>
    <w:rsid w:val="00EF028D"/>
    <w:rsid w:val="00EF0A42"/>
    <w:rsid w:val="00EF0B87"/>
    <w:rsid w:val="00EF0EF7"/>
    <w:rsid w:val="00EF1811"/>
    <w:rsid w:val="00EF1D8A"/>
    <w:rsid w:val="00EF2B44"/>
    <w:rsid w:val="00EF2D0B"/>
    <w:rsid w:val="00EF3BDD"/>
    <w:rsid w:val="00EF4661"/>
    <w:rsid w:val="00EF48E8"/>
    <w:rsid w:val="00EF496A"/>
    <w:rsid w:val="00EF557E"/>
    <w:rsid w:val="00EF561E"/>
    <w:rsid w:val="00EF563D"/>
    <w:rsid w:val="00EF5D9A"/>
    <w:rsid w:val="00EF5F92"/>
    <w:rsid w:val="00EF677F"/>
    <w:rsid w:val="00EF6D34"/>
    <w:rsid w:val="00EF788B"/>
    <w:rsid w:val="00EF7FF4"/>
    <w:rsid w:val="00F005E3"/>
    <w:rsid w:val="00F01A58"/>
    <w:rsid w:val="00F01A61"/>
    <w:rsid w:val="00F0211A"/>
    <w:rsid w:val="00F026D5"/>
    <w:rsid w:val="00F03C34"/>
    <w:rsid w:val="00F042AC"/>
    <w:rsid w:val="00F048E5"/>
    <w:rsid w:val="00F04947"/>
    <w:rsid w:val="00F04EBC"/>
    <w:rsid w:val="00F050E6"/>
    <w:rsid w:val="00F059E1"/>
    <w:rsid w:val="00F05AC9"/>
    <w:rsid w:val="00F074B0"/>
    <w:rsid w:val="00F07FC6"/>
    <w:rsid w:val="00F10557"/>
    <w:rsid w:val="00F109C7"/>
    <w:rsid w:val="00F10BCB"/>
    <w:rsid w:val="00F10E49"/>
    <w:rsid w:val="00F11C2B"/>
    <w:rsid w:val="00F12094"/>
    <w:rsid w:val="00F12591"/>
    <w:rsid w:val="00F133B3"/>
    <w:rsid w:val="00F13D2E"/>
    <w:rsid w:val="00F146D8"/>
    <w:rsid w:val="00F14866"/>
    <w:rsid w:val="00F1591B"/>
    <w:rsid w:val="00F15A7F"/>
    <w:rsid w:val="00F16651"/>
    <w:rsid w:val="00F16E62"/>
    <w:rsid w:val="00F175FA"/>
    <w:rsid w:val="00F17E5D"/>
    <w:rsid w:val="00F20469"/>
    <w:rsid w:val="00F2110F"/>
    <w:rsid w:val="00F2122C"/>
    <w:rsid w:val="00F21318"/>
    <w:rsid w:val="00F21AD4"/>
    <w:rsid w:val="00F22705"/>
    <w:rsid w:val="00F22A3D"/>
    <w:rsid w:val="00F22AAE"/>
    <w:rsid w:val="00F23DF8"/>
    <w:rsid w:val="00F23EAF"/>
    <w:rsid w:val="00F24EF0"/>
    <w:rsid w:val="00F258FA"/>
    <w:rsid w:val="00F25923"/>
    <w:rsid w:val="00F2594A"/>
    <w:rsid w:val="00F2711D"/>
    <w:rsid w:val="00F2734E"/>
    <w:rsid w:val="00F2769B"/>
    <w:rsid w:val="00F304C0"/>
    <w:rsid w:val="00F30DC4"/>
    <w:rsid w:val="00F31AE0"/>
    <w:rsid w:val="00F31D36"/>
    <w:rsid w:val="00F31FFD"/>
    <w:rsid w:val="00F32D0C"/>
    <w:rsid w:val="00F334A5"/>
    <w:rsid w:val="00F33504"/>
    <w:rsid w:val="00F33747"/>
    <w:rsid w:val="00F3439B"/>
    <w:rsid w:val="00F34486"/>
    <w:rsid w:val="00F35250"/>
    <w:rsid w:val="00F36221"/>
    <w:rsid w:val="00F364DF"/>
    <w:rsid w:val="00F36BBE"/>
    <w:rsid w:val="00F37953"/>
    <w:rsid w:val="00F40A90"/>
    <w:rsid w:val="00F42784"/>
    <w:rsid w:val="00F429D2"/>
    <w:rsid w:val="00F42D1E"/>
    <w:rsid w:val="00F43A91"/>
    <w:rsid w:val="00F43CA2"/>
    <w:rsid w:val="00F445B2"/>
    <w:rsid w:val="00F445B4"/>
    <w:rsid w:val="00F44F33"/>
    <w:rsid w:val="00F44F94"/>
    <w:rsid w:val="00F45383"/>
    <w:rsid w:val="00F46B11"/>
    <w:rsid w:val="00F477F6"/>
    <w:rsid w:val="00F47B5B"/>
    <w:rsid w:val="00F50296"/>
    <w:rsid w:val="00F503BC"/>
    <w:rsid w:val="00F5041C"/>
    <w:rsid w:val="00F50A9B"/>
    <w:rsid w:val="00F50E11"/>
    <w:rsid w:val="00F50F5E"/>
    <w:rsid w:val="00F5240D"/>
    <w:rsid w:val="00F5287D"/>
    <w:rsid w:val="00F52D4D"/>
    <w:rsid w:val="00F53D17"/>
    <w:rsid w:val="00F54DE6"/>
    <w:rsid w:val="00F54F8C"/>
    <w:rsid w:val="00F552EA"/>
    <w:rsid w:val="00F5610D"/>
    <w:rsid w:val="00F56698"/>
    <w:rsid w:val="00F56977"/>
    <w:rsid w:val="00F56D12"/>
    <w:rsid w:val="00F579C4"/>
    <w:rsid w:val="00F57A8F"/>
    <w:rsid w:val="00F6038F"/>
    <w:rsid w:val="00F6071D"/>
    <w:rsid w:val="00F612D6"/>
    <w:rsid w:val="00F61643"/>
    <w:rsid w:val="00F61C3F"/>
    <w:rsid w:val="00F61E9C"/>
    <w:rsid w:val="00F61FA7"/>
    <w:rsid w:val="00F6228C"/>
    <w:rsid w:val="00F62352"/>
    <w:rsid w:val="00F62DCF"/>
    <w:rsid w:val="00F636A4"/>
    <w:rsid w:val="00F6454E"/>
    <w:rsid w:val="00F64640"/>
    <w:rsid w:val="00F662A9"/>
    <w:rsid w:val="00F664C5"/>
    <w:rsid w:val="00F6730C"/>
    <w:rsid w:val="00F6799D"/>
    <w:rsid w:val="00F70168"/>
    <w:rsid w:val="00F703DE"/>
    <w:rsid w:val="00F7047E"/>
    <w:rsid w:val="00F70595"/>
    <w:rsid w:val="00F706F2"/>
    <w:rsid w:val="00F717BD"/>
    <w:rsid w:val="00F72C8E"/>
    <w:rsid w:val="00F73003"/>
    <w:rsid w:val="00F7300C"/>
    <w:rsid w:val="00F73791"/>
    <w:rsid w:val="00F74323"/>
    <w:rsid w:val="00F74C9A"/>
    <w:rsid w:val="00F75C37"/>
    <w:rsid w:val="00F77624"/>
    <w:rsid w:val="00F77EDF"/>
    <w:rsid w:val="00F8062E"/>
    <w:rsid w:val="00F80851"/>
    <w:rsid w:val="00F80CDB"/>
    <w:rsid w:val="00F8153A"/>
    <w:rsid w:val="00F81AEA"/>
    <w:rsid w:val="00F8298D"/>
    <w:rsid w:val="00F82AFF"/>
    <w:rsid w:val="00F831E4"/>
    <w:rsid w:val="00F83A96"/>
    <w:rsid w:val="00F83C2E"/>
    <w:rsid w:val="00F8404D"/>
    <w:rsid w:val="00F851C0"/>
    <w:rsid w:val="00F85430"/>
    <w:rsid w:val="00F85CEF"/>
    <w:rsid w:val="00F8669C"/>
    <w:rsid w:val="00F8698D"/>
    <w:rsid w:val="00F86A46"/>
    <w:rsid w:val="00F86CE3"/>
    <w:rsid w:val="00F8718A"/>
    <w:rsid w:val="00F879AD"/>
    <w:rsid w:val="00F87E81"/>
    <w:rsid w:val="00F90653"/>
    <w:rsid w:val="00F90BEB"/>
    <w:rsid w:val="00F9168D"/>
    <w:rsid w:val="00F91C95"/>
    <w:rsid w:val="00F922B1"/>
    <w:rsid w:val="00F926E7"/>
    <w:rsid w:val="00F928CE"/>
    <w:rsid w:val="00F9291C"/>
    <w:rsid w:val="00F92B9E"/>
    <w:rsid w:val="00F9334E"/>
    <w:rsid w:val="00F94966"/>
    <w:rsid w:val="00F949BD"/>
    <w:rsid w:val="00F95A6C"/>
    <w:rsid w:val="00F97DDF"/>
    <w:rsid w:val="00F97F6A"/>
    <w:rsid w:val="00FA00BE"/>
    <w:rsid w:val="00FA0786"/>
    <w:rsid w:val="00FA15C7"/>
    <w:rsid w:val="00FA18A4"/>
    <w:rsid w:val="00FA19DE"/>
    <w:rsid w:val="00FA2454"/>
    <w:rsid w:val="00FA33FA"/>
    <w:rsid w:val="00FA446C"/>
    <w:rsid w:val="00FA4EEE"/>
    <w:rsid w:val="00FA5860"/>
    <w:rsid w:val="00FA5ED5"/>
    <w:rsid w:val="00FA6593"/>
    <w:rsid w:val="00FA6BA7"/>
    <w:rsid w:val="00FA6CA2"/>
    <w:rsid w:val="00FA6CB6"/>
    <w:rsid w:val="00FB1BD0"/>
    <w:rsid w:val="00FB1E76"/>
    <w:rsid w:val="00FB2309"/>
    <w:rsid w:val="00FB241C"/>
    <w:rsid w:val="00FB29AB"/>
    <w:rsid w:val="00FB2B0E"/>
    <w:rsid w:val="00FB2C31"/>
    <w:rsid w:val="00FB3277"/>
    <w:rsid w:val="00FB3C67"/>
    <w:rsid w:val="00FB4245"/>
    <w:rsid w:val="00FB493F"/>
    <w:rsid w:val="00FB575B"/>
    <w:rsid w:val="00FB656E"/>
    <w:rsid w:val="00FB6C3A"/>
    <w:rsid w:val="00FB6FA9"/>
    <w:rsid w:val="00FB763B"/>
    <w:rsid w:val="00FB7851"/>
    <w:rsid w:val="00FC01B0"/>
    <w:rsid w:val="00FC0205"/>
    <w:rsid w:val="00FC031F"/>
    <w:rsid w:val="00FC0941"/>
    <w:rsid w:val="00FC0B50"/>
    <w:rsid w:val="00FC1185"/>
    <w:rsid w:val="00FC23FA"/>
    <w:rsid w:val="00FC2694"/>
    <w:rsid w:val="00FC2E1F"/>
    <w:rsid w:val="00FC3964"/>
    <w:rsid w:val="00FC3E3B"/>
    <w:rsid w:val="00FC481D"/>
    <w:rsid w:val="00FC48C1"/>
    <w:rsid w:val="00FC5537"/>
    <w:rsid w:val="00FC5646"/>
    <w:rsid w:val="00FC5734"/>
    <w:rsid w:val="00FC58D7"/>
    <w:rsid w:val="00FC62FD"/>
    <w:rsid w:val="00FC71FD"/>
    <w:rsid w:val="00FC74C3"/>
    <w:rsid w:val="00FC75D7"/>
    <w:rsid w:val="00FC7ED7"/>
    <w:rsid w:val="00FD047B"/>
    <w:rsid w:val="00FD08A8"/>
    <w:rsid w:val="00FD0FB9"/>
    <w:rsid w:val="00FD1DDC"/>
    <w:rsid w:val="00FD2408"/>
    <w:rsid w:val="00FD30B2"/>
    <w:rsid w:val="00FD3BE8"/>
    <w:rsid w:val="00FD3C29"/>
    <w:rsid w:val="00FD4849"/>
    <w:rsid w:val="00FD4BA9"/>
    <w:rsid w:val="00FD5E21"/>
    <w:rsid w:val="00FE0693"/>
    <w:rsid w:val="00FE1324"/>
    <w:rsid w:val="00FE1894"/>
    <w:rsid w:val="00FE1A76"/>
    <w:rsid w:val="00FE1D1B"/>
    <w:rsid w:val="00FE1EE1"/>
    <w:rsid w:val="00FE2804"/>
    <w:rsid w:val="00FE2A3D"/>
    <w:rsid w:val="00FE3198"/>
    <w:rsid w:val="00FE38C4"/>
    <w:rsid w:val="00FE49DD"/>
    <w:rsid w:val="00FE4A4E"/>
    <w:rsid w:val="00FE4C6A"/>
    <w:rsid w:val="00FE500F"/>
    <w:rsid w:val="00FE5120"/>
    <w:rsid w:val="00FE551A"/>
    <w:rsid w:val="00FE56DB"/>
    <w:rsid w:val="00FE57B2"/>
    <w:rsid w:val="00FE610A"/>
    <w:rsid w:val="00FE611D"/>
    <w:rsid w:val="00FE628E"/>
    <w:rsid w:val="00FE669E"/>
    <w:rsid w:val="00FE6FC0"/>
    <w:rsid w:val="00FE71C1"/>
    <w:rsid w:val="00FE7293"/>
    <w:rsid w:val="00FE76F5"/>
    <w:rsid w:val="00FF03F0"/>
    <w:rsid w:val="00FF0E14"/>
    <w:rsid w:val="00FF105B"/>
    <w:rsid w:val="00FF182F"/>
    <w:rsid w:val="00FF209B"/>
    <w:rsid w:val="00FF2C87"/>
    <w:rsid w:val="00FF2DCF"/>
    <w:rsid w:val="00FF3128"/>
    <w:rsid w:val="00FF408D"/>
    <w:rsid w:val="00FF4220"/>
    <w:rsid w:val="00FF50A6"/>
    <w:rsid w:val="00FF5287"/>
    <w:rsid w:val="00FF5486"/>
    <w:rsid w:val="00FF6A1C"/>
    <w:rsid w:val="00FF6F10"/>
    <w:rsid w:val="00FF6F5E"/>
    <w:rsid w:val="00FF73B3"/>
    <w:rsid w:val="00FF77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date"/>
  <w:shapeDefaults>
    <o:shapedefaults v:ext="edit" spidmax="327681"/>
    <o:shapelayout v:ext="edit">
      <o:idmap v:ext="edit" data="1"/>
    </o:shapelayout>
  </w:shapeDefaults>
  <w:decimalSymbol w:val=","/>
  <w:listSeparator w:val=";"/>
  <w15:docId w15:val="{26185B7F-194C-4267-B881-F8DAB9312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semiHidden="1" w:uiPriority="0" w:unhideWhenUsed="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semiHidden="1" w:unhideWhenUsed="1" w:qFormat="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locked="1" w:semiHidden="1" w:unhideWhenUsed="1"/>
    <w:lsdException w:name="No List"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774"/>
    <w:pPr>
      <w:spacing w:before="240" w:after="240"/>
      <w:ind w:firstLine="680"/>
      <w:jc w:val="both"/>
    </w:pPr>
    <w:rPr>
      <w:rFonts w:ascii="Times New Roman" w:hAnsi="Times New Roman"/>
      <w:sz w:val="24"/>
      <w:lang w:eastAsia="en-US"/>
    </w:rPr>
  </w:style>
  <w:style w:type="paragraph" w:styleId="Ttulo1">
    <w:name w:val="heading 1"/>
    <w:basedOn w:val="Normal"/>
    <w:next w:val="Normal"/>
    <w:link w:val="Ttulo1Car"/>
    <w:uiPriority w:val="99"/>
    <w:locked/>
    <w:rsid w:val="00CC5DA6"/>
    <w:pPr>
      <w:keepNext/>
      <w:keepLines/>
      <w:spacing w:before="480" w:after="0" w:line="360" w:lineRule="auto"/>
      <w:outlineLvl w:val="0"/>
    </w:pPr>
    <w:rPr>
      <w:rFonts w:ascii="Cambria" w:hAnsi="Cambria"/>
      <w:b/>
      <w:color w:val="365F91"/>
      <w:sz w:val="28"/>
      <w:szCs w:val="20"/>
      <w:lang w:eastAsia="es-ES"/>
    </w:rPr>
  </w:style>
  <w:style w:type="paragraph" w:styleId="Ttulo2">
    <w:name w:val="heading 2"/>
    <w:basedOn w:val="Normal"/>
    <w:next w:val="Normal"/>
    <w:link w:val="Ttulo2Car"/>
    <w:uiPriority w:val="99"/>
    <w:locked/>
    <w:rsid w:val="00CC5DA6"/>
    <w:pPr>
      <w:keepNext/>
      <w:spacing w:after="60"/>
      <w:outlineLvl w:val="1"/>
    </w:pPr>
    <w:rPr>
      <w:rFonts w:ascii="Cambria" w:eastAsia="Times New Roman" w:hAnsi="Cambria"/>
      <w:b/>
      <w:bCs/>
      <w:i/>
      <w:iCs/>
      <w:sz w:val="28"/>
      <w:szCs w:val="28"/>
      <w:lang w:eastAsia="es-ES"/>
    </w:rPr>
  </w:style>
  <w:style w:type="paragraph" w:styleId="Ttulo3">
    <w:name w:val="heading 3"/>
    <w:basedOn w:val="Normal"/>
    <w:next w:val="Normal"/>
    <w:link w:val="Ttulo3Car"/>
    <w:uiPriority w:val="99"/>
    <w:locked/>
    <w:rsid w:val="00CC5DA6"/>
    <w:pPr>
      <w:keepNext/>
      <w:spacing w:after="60"/>
      <w:outlineLvl w:val="2"/>
    </w:pPr>
    <w:rPr>
      <w:rFonts w:ascii="Cambria" w:eastAsia="Times New Roman" w:hAnsi="Cambria"/>
      <w:b/>
      <w:bCs/>
      <w:sz w:val="26"/>
      <w:szCs w:val="26"/>
      <w:lang w:eastAsia="es-ES"/>
    </w:rPr>
  </w:style>
  <w:style w:type="paragraph" w:styleId="Ttulo4">
    <w:name w:val="heading 4"/>
    <w:basedOn w:val="Normal"/>
    <w:next w:val="Normal"/>
    <w:link w:val="Ttulo4Car"/>
    <w:uiPriority w:val="99"/>
    <w:locked/>
    <w:rsid w:val="003A114C"/>
    <w:pPr>
      <w:keepNext/>
      <w:spacing w:after="60"/>
      <w:outlineLvl w:val="3"/>
    </w:pPr>
    <w:rPr>
      <w:rFonts w:ascii="Calibri" w:eastAsia="Times New Roman" w:hAnsi="Calibri"/>
      <w:b/>
      <w:bCs/>
      <w:sz w:val="28"/>
      <w:szCs w:val="28"/>
    </w:rPr>
  </w:style>
  <w:style w:type="paragraph" w:styleId="Ttulo5">
    <w:name w:val="heading 5"/>
    <w:basedOn w:val="Normal"/>
    <w:next w:val="Normal"/>
    <w:link w:val="Ttulo5Car"/>
    <w:uiPriority w:val="99"/>
    <w:locked/>
    <w:rsid w:val="00FA0786"/>
    <w:pPr>
      <w:outlineLvl w:val="4"/>
    </w:pPr>
  </w:style>
  <w:style w:type="paragraph" w:styleId="Ttulo6">
    <w:name w:val="heading 6"/>
    <w:basedOn w:val="Normal"/>
    <w:next w:val="Normal"/>
    <w:link w:val="Ttulo6Car"/>
    <w:uiPriority w:val="99"/>
    <w:locked/>
    <w:rsid w:val="00FB3C67"/>
    <w:pPr>
      <w:spacing w:after="60"/>
      <w:outlineLvl w:val="5"/>
    </w:pPr>
    <w:rPr>
      <w:rFonts w:ascii="Calibri" w:eastAsia="Times New Roman" w:hAnsi="Calibri"/>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C5DA6"/>
    <w:rPr>
      <w:rFonts w:ascii="Cambria" w:hAnsi="Cambria" w:cs="Times New Roman"/>
      <w:b/>
      <w:color w:val="365F91"/>
      <w:sz w:val="28"/>
    </w:rPr>
  </w:style>
  <w:style w:type="character" w:customStyle="1" w:styleId="Ttulo2Car">
    <w:name w:val="Título 2 Car"/>
    <w:basedOn w:val="Fuentedeprrafopredeter"/>
    <w:link w:val="Ttulo2"/>
    <w:uiPriority w:val="99"/>
    <w:locked/>
    <w:rsid w:val="00CC5DA6"/>
    <w:rPr>
      <w:rFonts w:ascii="Cambria" w:hAnsi="Cambria" w:cs="Times New Roman"/>
      <w:b/>
      <w:i/>
      <w:sz w:val="28"/>
    </w:rPr>
  </w:style>
  <w:style w:type="character" w:customStyle="1" w:styleId="Ttulo3Car">
    <w:name w:val="Título 3 Car"/>
    <w:basedOn w:val="Fuentedeprrafopredeter"/>
    <w:link w:val="Ttulo3"/>
    <w:uiPriority w:val="99"/>
    <w:locked/>
    <w:rsid w:val="00CC5DA6"/>
    <w:rPr>
      <w:rFonts w:ascii="Cambria" w:hAnsi="Cambria" w:cs="Times New Roman"/>
      <w:b/>
      <w:sz w:val="26"/>
    </w:rPr>
  </w:style>
  <w:style w:type="character" w:customStyle="1" w:styleId="Ttulo4Car">
    <w:name w:val="Título 4 Car"/>
    <w:basedOn w:val="Fuentedeprrafopredeter"/>
    <w:link w:val="Ttulo4"/>
    <w:uiPriority w:val="99"/>
    <w:locked/>
    <w:rsid w:val="003A114C"/>
    <w:rPr>
      <w:rFonts w:ascii="Calibri" w:hAnsi="Calibri" w:cs="Times New Roman"/>
      <w:b/>
      <w:bCs/>
      <w:sz w:val="28"/>
      <w:szCs w:val="28"/>
      <w:lang w:eastAsia="en-US"/>
    </w:rPr>
  </w:style>
  <w:style w:type="character" w:customStyle="1" w:styleId="Ttulo5Car">
    <w:name w:val="Título 5 Car"/>
    <w:basedOn w:val="Fuentedeprrafopredeter"/>
    <w:link w:val="Ttulo5"/>
    <w:uiPriority w:val="99"/>
    <w:locked/>
    <w:rsid w:val="00FA0786"/>
    <w:rPr>
      <w:rFonts w:ascii="Times New Roman" w:hAnsi="Times New Roman" w:cs="Times New Roman"/>
      <w:sz w:val="24"/>
      <w:lang w:eastAsia="en-US"/>
    </w:rPr>
  </w:style>
  <w:style w:type="character" w:customStyle="1" w:styleId="Ttulo6Car">
    <w:name w:val="Título 6 Car"/>
    <w:basedOn w:val="Fuentedeprrafopredeter"/>
    <w:link w:val="Ttulo6"/>
    <w:uiPriority w:val="99"/>
    <w:locked/>
    <w:rsid w:val="00FB3C67"/>
    <w:rPr>
      <w:rFonts w:ascii="Calibri" w:hAnsi="Calibri" w:cs="Times New Roman"/>
      <w:b/>
      <w:bCs/>
      <w:lang w:eastAsia="en-US"/>
    </w:rPr>
  </w:style>
  <w:style w:type="paragraph" w:customStyle="1" w:styleId="2EPGRAFE">
    <w:name w:val="2ª EPÍGRAFE"/>
    <w:next w:val="3EPGRAFE"/>
    <w:autoRedefine/>
    <w:qFormat/>
    <w:rsid w:val="00F552EA"/>
    <w:pPr>
      <w:tabs>
        <w:tab w:val="left" w:pos="1134"/>
        <w:tab w:val="left" w:pos="1701"/>
      </w:tabs>
      <w:spacing w:before="240" w:after="240"/>
      <w:ind w:left="1080" w:hanging="360"/>
    </w:pPr>
    <w:rPr>
      <w:rFonts w:ascii="Times New Roman" w:hAnsi="Times New Roman"/>
      <w:b/>
      <w:caps/>
      <w:sz w:val="28"/>
      <w:lang w:eastAsia="en-US"/>
    </w:rPr>
  </w:style>
  <w:style w:type="paragraph" w:customStyle="1" w:styleId="3EPGRAFE">
    <w:name w:val="3º EPÍGRAFE"/>
    <w:basedOn w:val="Normal"/>
    <w:qFormat/>
    <w:rsid w:val="00CC5DA6"/>
    <w:pPr>
      <w:tabs>
        <w:tab w:val="left" w:pos="1134"/>
      </w:tabs>
      <w:ind w:left="1440" w:hanging="360"/>
    </w:pPr>
    <w:rPr>
      <w:b/>
      <w:sz w:val="26"/>
    </w:rPr>
  </w:style>
  <w:style w:type="paragraph" w:customStyle="1" w:styleId="1EPGRAFE">
    <w:name w:val="1º EPÍGRAFE"/>
    <w:basedOn w:val="Piedepgina"/>
    <w:qFormat/>
    <w:rsid w:val="00FB3C67"/>
    <w:pPr>
      <w:tabs>
        <w:tab w:val="clear" w:pos="4252"/>
        <w:tab w:val="center" w:pos="709"/>
      </w:tabs>
      <w:spacing w:before="240" w:after="240"/>
    </w:pPr>
    <w:rPr>
      <w:b/>
      <w:caps/>
      <w:sz w:val="32"/>
    </w:rPr>
  </w:style>
  <w:style w:type="paragraph" w:styleId="Piedepgina">
    <w:name w:val="footer"/>
    <w:basedOn w:val="Normal"/>
    <w:link w:val="PiedepginaCar"/>
    <w:uiPriority w:val="99"/>
    <w:qFormat/>
    <w:rsid w:val="00CC5DA6"/>
    <w:pPr>
      <w:tabs>
        <w:tab w:val="center" w:pos="4252"/>
        <w:tab w:val="right" w:pos="8504"/>
      </w:tabs>
      <w:spacing w:before="0" w:after="0"/>
      <w:ind w:firstLine="0"/>
    </w:pPr>
    <w:rPr>
      <w:sz w:val="20"/>
      <w:lang w:eastAsia="es-ES"/>
    </w:rPr>
  </w:style>
  <w:style w:type="character" w:customStyle="1" w:styleId="PiedepginaCar">
    <w:name w:val="Pie de página Car"/>
    <w:basedOn w:val="Fuentedeprrafopredeter"/>
    <w:link w:val="Piedepgina"/>
    <w:uiPriority w:val="99"/>
    <w:locked/>
    <w:rsid w:val="00CC5DA6"/>
    <w:rPr>
      <w:rFonts w:ascii="Times New Roman" w:hAnsi="Times New Roman" w:cs="Times New Roman"/>
      <w:sz w:val="22"/>
    </w:rPr>
  </w:style>
  <w:style w:type="paragraph" w:customStyle="1" w:styleId="EXTRACTOS">
    <w:name w:val="EXTRACTOS"/>
    <w:basedOn w:val="Normal"/>
    <w:link w:val="EXTRACTOSCar"/>
    <w:uiPriority w:val="99"/>
    <w:rsid w:val="006F507E"/>
    <w:pPr>
      <w:spacing w:line="360" w:lineRule="auto"/>
    </w:pPr>
    <w:rPr>
      <w:i/>
      <w:szCs w:val="20"/>
    </w:rPr>
  </w:style>
  <w:style w:type="character" w:customStyle="1" w:styleId="EXTRACTOSCar">
    <w:name w:val="EXTRACTOS Car"/>
    <w:basedOn w:val="Fuentedeprrafopredeter"/>
    <w:link w:val="EXTRACTOS"/>
    <w:uiPriority w:val="99"/>
    <w:locked/>
    <w:rsid w:val="006F507E"/>
    <w:rPr>
      <w:rFonts w:ascii="Times New Roman" w:hAnsi="Times New Roman" w:cs="Times New Roman"/>
      <w:i/>
      <w:sz w:val="24"/>
    </w:rPr>
  </w:style>
  <w:style w:type="paragraph" w:styleId="Textonotapie">
    <w:name w:val="footnote text"/>
    <w:basedOn w:val="Normal"/>
    <w:link w:val="TextonotapieCar"/>
    <w:uiPriority w:val="99"/>
    <w:semiHidden/>
    <w:locked/>
    <w:rsid w:val="00282EFB"/>
    <w:pPr>
      <w:spacing w:before="0" w:after="0"/>
    </w:pPr>
    <w:rPr>
      <w:sz w:val="20"/>
      <w:szCs w:val="20"/>
    </w:rPr>
  </w:style>
  <w:style w:type="character" w:customStyle="1" w:styleId="TextonotapieCar">
    <w:name w:val="Texto nota pie Car"/>
    <w:basedOn w:val="Fuentedeprrafopredeter"/>
    <w:link w:val="Textonotapie"/>
    <w:uiPriority w:val="99"/>
    <w:semiHidden/>
    <w:locked/>
    <w:rsid w:val="00282EFB"/>
    <w:rPr>
      <w:rFonts w:ascii="Times New Roman" w:hAnsi="Times New Roman" w:cs="Times New Roman"/>
    </w:rPr>
  </w:style>
  <w:style w:type="paragraph" w:customStyle="1" w:styleId="4EPGRAFE">
    <w:name w:val="4º EPÍGRAFE"/>
    <w:basedOn w:val="Normal"/>
    <w:uiPriority w:val="99"/>
    <w:qFormat/>
    <w:rsid w:val="00FA0786"/>
    <w:pPr>
      <w:ind w:left="849" w:hanging="283"/>
      <w:contextualSpacing/>
    </w:pPr>
    <w:rPr>
      <w:i/>
      <w:szCs w:val="26"/>
    </w:rPr>
  </w:style>
  <w:style w:type="character" w:styleId="CitaHTML">
    <w:name w:val="HTML Cite"/>
    <w:basedOn w:val="Fuentedeprrafopredeter"/>
    <w:uiPriority w:val="99"/>
    <w:semiHidden/>
    <w:locked/>
    <w:rsid w:val="00A42D11"/>
    <w:rPr>
      <w:rFonts w:cs="Times New Roman"/>
      <w:i/>
      <w:iCs/>
    </w:rPr>
  </w:style>
  <w:style w:type="paragraph" w:styleId="Textodeglobo">
    <w:name w:val="Balloon Text"/>
    <w:basedOn w:val="Normal"/>
    <w:link w:val="TextodegloboCar"/>
    <w:uiPriority w:val="99"/>
    <w:semiHidden/>
    <w:locked/>
    <w:rsid w:val="00A42D11"/>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42D11"/>
    <w:rPr>
      <w:rFonts w:ascii="Tahoma" w:hAnsi="Tahoma" w:cs="Tahoma"/>
      <w:sz w:val="16"/>
      <w:szCs w:val="16"/>
    </w:rPr>
  </w:style>
  <w:style w:type="character" w:styleId="Refdecomentario">
    <w:name w:val="annotation reference"/>
    <w:basedOn w:val="Fuentedeprrafopredeter"/>
    <w:uiPriority w:val="99"/>
    <w:semiHidden/>
    <w:locked/>
    <w:rsid w:val="008B6A22"/>
    <w:rPr>
      <w:rFonts w:cs="Times New Roman"/>
      <w:sz w:val="16"/>
      <w:szCs w:val="16"/>
    </w:rPr>
  </w:style>
  <w:style w:type="paragraph" w:styleId="Textocomentario">
    <w:name w:val="annotation text"/>
    <w:basedOn w:val="Normal"/>
    <w:link w:val="TextocomentarioCar"/>
    <w:uiPriority w:val="99"/>
    <w:semiHidden/>
    <w:locked/>
    <w:rsid w:val="008B6A22"/>
    <w:rPr>
      <w:sz w:val="20"/>
      <w:szCs w:val="20"/>
    </w:rPr>
  </w:style>
  <w:style w:type="character" w:customStyle="1" w:styleId="TextocomentarioCar">
    <w:name w:val="Texto comentario Car"/>
    <w:basedOn w:val="Fuentedeprrafopredeter"/>
    <w:link w:val="Textocomentario"/>
    <w:uiPriority w:val="99"/>
    <w:semiHidden/>
    <w:locked/>
    <w:rsid w:val="008B6A22"/>
    <w:rPr>
      <w:rFonts w:ascii="Times New Roman" w:hAnsi="Times New Roman" w:cs="Times New Roman"/>
      <w:sz w:val="20"/>
      <w:szCs w:val="20"/>
      <w:lang w:eastAsia="en-US"/>
    </w:rPr>
  </w:style>
  <w:style w:type="paragraph" w:styleId="Asuntodelcomentario">
    <w:name w:val="annotation subject"/>
    <w:basedOn w:val="Textocomentario"/>
    <w:next w:val="Textocomentario"/>
    <w:link w:val="AsuntodelcomentarioCar"/>
    <w:uiPriority w:val="99"/>
    <w:semiHidden/>
    <w:locked/>
    <w:rsid w:val="008B6A22"/>
    <w:rPr>
      <w:b/>
      <w:bCs/>
    </w:rPr>
  </w:style>
  <w:style w:type="character" w:customStyle="1" w:styleId="AsuntodelcomentarioCar">
    <w:name w:val="Asunto del comentario Car"/>
    <w:basedOn w:val="TextocomentarioCar"/>
    <w:link w:val="Asuntodelcomentario"/>
    <w:uiPriority w:val="99"/>
    <w:semiHidden/>
    <w:locked/>
    <w:rsid w:val="008B6A22"/>
    <w:rPr>
      <w:rFonts w:ascii="Times New Roman" w:hAnsi="Times New Roman" w:cs="Times New Roman"/>
      <w:b/>
      <w:bCs/>
      <w:sz w:val="20"/>
      <w:szCs w:val="20"/>
      <w:lang w:eastAsia="en-US"/>
    </w:rPr>
  </w:style>
  <w:style w:type="character" w:styleId="AcrnimoHTML">
    <w:name w:val="HTML Acronym"/>
    <w:basedOn w:val="Fuentedeprrafopredeter"/>
    <w:uiPriority w:val="99"/>
    <w:locked/>
    <w:rsid w:val="00FB3C67"/>
    <w:rPr>
      <w:rFonts w:cs="Times New Roman"/>
    </w:rPr>
  </w:style>
  <w:style w:type="paragraph" w:styleId="NormalWeb">
    <w:name w:val="Normal (Web)"/>
    <w:basedOn w:val="Normal"/>
    <w:uiPriority w:val="99"/>
    <w:semiHidden/>
    <w:locked/>
    <w:rsid w:val="00DF3BA0"/>
    <w:pPr>
      <w:spacing w:before="100" w:beforeAutospacing="1" w:after="100" w:afterAutospacing="1"/>
      <w:ind w:firstLine="0"/>
      <w:jc w:val="left"/>
    </w:pPr>
    <w:rPr>
      <w:rFonts w:eastAsia="Times New Roman"/>
      <w:szCs w:val="24"/>
      <w:lang w:eastAsia="es-ES"/>
    </w:rPr>
  </w:style>
  <w:style w:type="character" w:styleId="Refdenotaalpie">
    <w:name w:val="footnote reference"/>
    <w:basedOn w:val="Fuentedeprrafopredeter"/>
    <w:uiPriority w:val="99"/>
    <w:unhideWhenUsed/>
    <w:rsid w:val="00C80143"/>
    <w:rPr>
      <w:vertAlign w:val="superscript"/>
    </w:rPr>
  </w:style>
  <w:style w:type="character" w:customStyle="1" w:styleId="titulo1">
    <w:name w:val="titulo1"/>
    <w:rsid w:val="00430D14"/>
  </w:style>
  <w:style w:type="character" w:customStyle="1" w:styleId="fcr">
    <w:name w:val="fcr"/>
    <w:uiPriority w:val="99"/>
    <w:rsid w:val="007E4F42"/>
  </w:style>
  <w:style w:type="paragraph" w:styleId="Encabezado">
    <w:name w:val="header"/>
    <w:basedOn w:val="Normal"/>
    <w:link w:val="EncabezadoCar"/>
    <w:uiPriority w:val="99"/>
    <w:unhideWhenUsed/>
    <w:locked/>
    <w:rsid w:val="007B5976"/>
    <w:pPr>
      <w:tabs>
        <w:tab w:val="center" w:pos="4252"/>
        <w:tab w:val="right" w:pos="8504"/>
      </w:tabs>
    </w:pPr>
  </w:style>
  <w:style w:type="character" w:customStyle="1" w:styleId="EncabezadoCar">
    <w:name w:val="Encabezado Car"/>
    <w:basedOn w:val="Fuentedeprrafopredeter"/>
    <w:link w:val="Encabezado"/>
    <w:uiPriority w:val="99"/>
    <w:rsid w:val="007B5976"/>
    <w:rPr>
      <w:rFonts w:ascii="Times New Roman" w:hAnsi="Times New Roman"/>
      <w:sz w:val="24"/>
      <w:lang w:eastAsia="en-US"/>
    </w:rPr>
  </w:style>
  <w:style w:type="paragraph" w:customStyle="1" w:styleId="autores">
    <w:name w:val="autores"/>
    <w:basedOn w:val="Normal"/>
    <w:rsid w:val="00F552EA"/>
    <w:pPr>
      <w:spacing w:before="100" w:beforeAutospacing="1" w:after="100" w:afterAutospacing="1"/>
    </w:pPr>
  </w:style>
  <w:style w:type="character" w:styleId="Hipervnculo">
    <w:name w:val="Hyperlink"/>
    <w:basedOn w:val="Fuentedeprrafopredeter"/>
    <w:uiPriority w:val="99"/>
    <w:locked/>
    <w:rsid w:val="00401D14"/>
    <w:rPr>
      <w:rFonts w:cs="Times New Roman"/>
      <w:color w:val="0000FF"/>
      <w:u w:val="single"/>
    </w:rPr>
  </w:style>
  <w:style w:type="character" w:customStyle="1" w:styleId="apple-converted-space">
    <w:name w:val="apple-converted-space"/>
    <w:rsid w:val="005C0BA0"/>
  </w:style>
  <w:style w:type="paragraph" w:customStyle="1" w:styleId="nr">
    <w:name w:val="nr"/>
    <w:basedOn w:val="Normal"/>
    <w:rsid w:val="003F2F80"/>
    <w:pPr>
      <w:spacing w:before="100" w:beforeAutospacing="1" w:after="100" w:afterAutospacing="1"/>
      <w:ind w:firstLine="0"/>
      <w:jc w:val="left"/>
    </w:pPr>
    <w:rPr>
      <w:rFonts w:eastAsia="Times New Roman"/>
      <w:szCs w:val="24"/>
      <w:lang w:eastAsia="es-ES"/>
    </w:rPr>
  </w:style>
  <w:style w:type="paragraph" w:styleId="TDC1">
    <w:name w:val="toc 1"/>
    <w:basedOn w:val="Normal"/>
    <w:next w:val="Normal"/>
    <w:autoRedefine/>
    <w:uiPriority w:val="39"/>
    <w:unhideWhenUsed/>
    <w:rsid w:val="00C120C7"/>
  </w:style>
  <w:style w:type="paragraph" w:styleId="TDC2">
    <w:name w:val="toc 2"/>
    <w:basedOn w:val="Normal"/>
    <w:next w:val="Normal"/>
    <w:autoRedefine/>
    <w:uiPriority w:val="39"/>
    <w:unhideWhenUsed/>
    <w:rsid w:val="00C120C7"/>
    <w:pPr>
      <w:ind w:left="240"/>
    </w:pPr>
  </w:style>
  <w:style w:type="paragraph" w:styleId="TDC3">
    <w:name w:val="toc 3"/>
    <w:basedOn w:val="Normal"/>
    <w:next w:val="Normal"/>
    <w:autoRedefine/>
    <w:uiPriority w:val="39"/>
    <w:unhideWhenUsed/>
    <w:rsid w:val="00C120C7"/>
    <w:pPr>
      <w:ind w:left="480"/>
    </w:pPr>
  </w:style>
  <w:style w:type="paragraph" w:styleId="TDC4">
    <w:name w:val="toc 4"/>
    <w:basedOn w:val="Normal"/>
    <w:next w:val="Normal"/>
    <w:autoRedefine/>
    <w:uiPriority w:val="39"/>
    <w:unhideWhenUsed/>
    <w:rsid w:val="00C120C7"/>
    <w:pPr>
      <w:ind w:left="720"/>
    </w:pPr>
  </w:style>
  <w:style w:type="character" w:customStyle="1" w:styleId="subtitulo">
    <w:name w:val="subtitulo"/>
    <w:rsid w:val="00F54F8C"/>
  </w:style>
  <w:style w:type="paragraph" w:customStyle="1" w:styleId="pIEPGINA">
    <w:name w:val="pIE PÁGINA"/>
    <w:basedOn w:val="Normal"/>
    <w:link w:val="pIEPGINACar"/>
    <w:uiPriority w:val="99"/>
    <w:rsid w:val="007138DD"/>
    <w:pPr>
      <w:spacing w:before="0" w:after="0"/>
      <w:ind w:firstLine="0"/>
    </w:pPr>
    <w:rPr>
      <w:sz w:val="20"/>
      <w:szCs w:val="20"/>
      <w:lang w:eastAsia="es-ES"/>
    </w:rPr>
  </w:style>
  <w:style w:type="character" w:customStyle="1" w:styleId="pIEPGINACar">
    <w:name w:val="pIE PÁGINA Car"/>
    <w:link w:val="pIEPGINA"/>
    <w:uiPriority w:val="99"/>
    <w:locked/>
    <w:rsid w:val="007138DD"/>
    <w:rPr>
      <w:rFonts w:ascii="Times New Roman" w:hAnsi="Times New Roman"/>
      <w:sz w:val="20"/>
      <w:szCs w:val="20"/>
    </w:rPr>
  </w:style>
  <w:style w:type="character" w:customStyle="1" w:styleId="separador">
    <w:name w:val="separador"/>
    <w:uiPriority w:val="99"/>
    <w:rsid w:val="00CE5A64"/>
  </w:style>
  <w:style w:type="character" w:customStyle="1" w:styleId="titulo">
    <w:name w:val="titulo"/>
    <w:rsid w:val="007A51F4"/>
  </w:style>
  <w:style w:type="character" w:customStyle="1" w:styleId="highlightsearchaux">
    <w:name w:val="highlightsearchaux"/>
    <w:basedOn w:val="Fuentedeprrafopredeter"/>
    <w:uiPriority w:val="99"/>
    <w:rsid w:val="001D25D1"/>
    <w:rPr>
      <w:rFonts w:cs="Times New Roman"/>
    </w:rPr>
  </w:style>
  <w:style w:type="paragraph" w:customStyle="1" w:styleId="Prrafodelista3">
    <w:name w:val="Párrafo de lista3"/>
    <w:basedOn w:val="Normal"/>
    <w:uiPriority w:val="99"/>
    <w:rsid w:val="0066032D"/>
    <w:pPr>
      <w:spacing w:line="360" w:lineRule="auto"/>
      <w:ind w:left="720" w:firstLine="0"/>
      <w:contextualSpacing/>
    </w:pPr>
    <w:rPr>
      <w:rFonts w:eastAsia="Times New Roman"/>
    </w:rPr>
  </w:style>
  <w:style w:type="paragraph" w:styleId="Textoindependiente">
    <w:name w:val="Body Text"/>
    <w:basedOn w:val="Normal"/>
    <w:link w:val="TextoindependienteCar"/>
    <w:locked/>
    <w:rsid w:val="001D7B1B"/>
    <w:pPr>
      <w:spacing w:before="0" w:after="120"/>
      <w:ind w:firstLine="0"/>
      <w:jc w:val="left"/>
    </w:pPr>
    <w:rPr>
      <w:rFonts w:eastAsia="Times New Roman"/>
      <w:szCs w:val="24"/>
      <w:lang w:eastAsia="es-ES"/>
    </w:rPr>
  </w:style>
  <w:style w:type="character" w:customStyle="1" w:styleId="TextoindependienteCar">
    <w:name w:val="Texto independiente Car"/>
    <w:basedOn w:val="Fuentedeprrafopredeter"/>
    <w:link w:val="Textoindependiente"/>
    <w:rsid w:val="001D7B1B"/>
    <w:rPr>
      <w:rFonts w:ascii="Times New Roman" w:eastAsia="Times New Roman" w:hAnsi="Times New Roman"/>
      <w:sz w:val="24"/>
      <w:szCs w:val="24"/>
    </w:rPr>
  </w:style>
  <w:style w:type="paragraph" w:styleId="Listaconvietas">
    <w:name w:val="List Bullet"/>
    <w:basedOn w:val="Normal"/>
    <w:locked/>
    <w:rsid w:val="00775FDF"/>
    <w:pPr>
      <w:numPr>
        <w:numId w:val="11"/>
      </w:numPr>
      <w:spacing w:before="0" w:after="0"/>
      <w:contextualSpacing/>
      <w:jc w:val="left"/>
    </w:pPr>
    <w:rPr>
      <w:rFonts w:eastAsia="Times New Roman"/>
      <w:szCs w:val="24"/>
      <w:lang w:eastAsia="es-ES"/>
    </w:rPr>
  </w:style>
  <w:style w:type="paragraph" w:styleId="Lista">
    <w:name w:val="List"/>
    <w:basedOn w:val="Normal"/>
    <w:uiPriority w:val="99"/>
    <w:unhideWhenUsed/>
    <w:locked/>
    <w:rsid w:val="00AF4AB9"/>
    <w:pPr>
      <w:ind w:left="283" w:hanging="283"/>
      <w:contextualSpacing/>
    </w:pPr>
  </w:style>
  <w:style w:type="paragraph" w:styleId="Lista2">
    <w:name w:val="List 2"/>
    <w:basedOn w:val="Normal"/>
    <w:uiPriority w:val="99"/>
    <w:unhideWhenUsed/>
    <w:locked/>
    <w:rsid w:val="00AF4AB9"/>
    <w:pPr>
      <w:ind w:left="566" w:hanging="283"/>
      <w:contextualSpacing/>
    </w:pPr>
  </w:style>
  <w:style w:type="paragraph" w:styleId="Lista3">
    <w:name w:val="List 3"/>
    <w:basedOn w:val="Normal"/>
    <w:uiPriority w:val="99"/>
    <w:unhideWhenUsed/>
    <w:locked/>
    <w:rsid w:val="00AF4AB9"/>
    <w:pPr>
      <w:ind w:left="849" w:hanging="283"/>
      <w:contextualSpacing/>
    </w:pPr>
  </w:style>
  <w:style w:type="paragraph" w:styleId="Lista4">
    <w:name w:val="List 4"/>
    <w:basedOn w:val="Normal"/>
    <w:uiPriority w:val="99"/>
    <w:unhideWhenUsed/>
    <w:locked/>
    <w:rsid w:val="00AF4AB9"/>
    <w:pPr>
      <w:ind w:left="1132" w:hanging="283"/>
      <w:contextualSpacing/>
    </w:pPr>
  </w:style>
  <w:style w:type="paragraph" w:styleId="Saludo">
    <w:name w:val="Salutation"/>
    <w:basedOn w:val="Normal"/>
    <w:next w:val="Normal"/>
    <w:link w:val="SaludoCar"/>
    <w:uiPriority w:val="99"/>
    <w:unhideWhenUsed/>
    <w:locked/>
    <w:rsid w:val="00AF4AB9"/>
  </w:style>
  <w:style w:type="character" w:customStyle="1" w:styleId="SaludoCar">
    <w:name w:val="Saludo Car"/>
    <w:basedOn w:val="Fuentedeprrafopredeter"/>
    <w:link w:val="Saludo"/>
    <w:uiPriority w:val="99"/>
    <w:rsid w:val="00AF4AB9"/>
    <w:rPr>
      <w:rFonts w:ascii="Times New Roman" w:hAnsi="Times New Roman"/>
      <w:sz w:val="24"/>
      <w:lang w:eastAsia="en-US"/>
    </w:rPr>
  </w:style>
  <w:style w:type="paragraph" w:styleId="Sangradetextonormal">
    <w:name w:val="Body Text Indent"/>
    <w:basedOn w:val="Normal"/>
    <w:link w:val="SangradetextonormalCar"/>
    <w:uiPriority w:val="99"/>
    <w:unhideWhenUsed/>
    <w:locked/>
    <w:rsid w:val="00AF4AB9"/>
    <w:pPr>
      <w:spacing w:after="120"/>
      <w:ind w:left="283"/>
    </w:pPr>
  </w:style>
  <w:style w:type="character" w:customStyle="1" w:styleId="SangradetextonormalCar">
    <w:name w:val="Sangría de texto normal Car"/>
    <w:basedOn w:val="Fuentedeprrafopredeter"/>
    <w:link w:val="Sangradetextonormal"/>
    <w:uiPriority w:val="99"/>
    <w:rsid w:val="00AF4AB9"/>
    <w:rPr>
      <w:rFonts w:ascii="Times New Roman" w:hAnsi="Times New Roman"/>
      <w:sz w:val="24"/>
      <w:lang w:eastAsia="en-US"/>
    </w:rPr>
  </w:style>
  <w:style w:type="paragraph" w:styleId="Textoindependienteprimerasangra">
    <w:name w:val="Body Text First Indent"/>
    <w:basedOn w:val="Textoindependiente"/>
    <w:link w:val="TextoindependienteprimerasangraCar"/>
    <w:uiPriority w:val="99"/>
    <w:unhideWhenUsed/>
    <w:locked/>
    <w:rsid w:val="00AF4AB9"/>
    <w:pPr>
      <w:spacing w:before="240"/>
      <w:ind w:firstLine="210"/>
      <w:jc w:val="both"/>
    </w:pPr>
    <w:rPr>
      <w:rFonts w:eastAsia="Calibri"/>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AF4AB9"/>
    <w:rPr>
      <w:rFonts w:ascii="Times New Roman" w:eastAsia="Times New Roman" w:hAnsi="Times New Roman"/>
      <w:sz w:val="24"/>
      <w:szCs w:val="24"/>
      <w:lang w:eastAsia="en-US"/>
    </w:rPr>
  </w:style>
  <w:style w:type="paragraph" w:styleId="Textoindependienteprimerasangra2">
    <w:name w:val="Body Text First Indent 2"/>
    <w:basedOn w:val="Sangradetextonormal"/>
    <w:link w:val="Textoindependienteprimerasangra2Car"/>
    <w:uiPriority w:val="99"/>
    <w:unhideWhenUsed/>
    <w:locked/>
    <w:rsid w:val="00AF4AB9"/>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AF4AB9"/>
    <w:rPr>
      <w:rFonts w:ascii="Times New Roman" w:hAnsi="Times New Roman"/>
      <w:sz w:val="24"/>
      <w:lang w:eastAsia="en-US"/>
    </w:rPr>
  </w:style>
  <w:style w:type="character" w:styleId="Hipervnculovisitado">
    <w:name w:val="FollowedHyperlink"/>
    <w:basedOn w:val="Fuentedeprrafopredeter"/>
    <w:uiPriority w:val="99"/>
    <w:semiHidden/>
    <w:unhideWhenUsed/>
    <w:locked/>
    <w:rsid w:val="00B57CD0"/>
    <w:rPr>
      <w:color w:val="800080" w:themeColor="followedHyperlink"/>
      <w:u w:val="single"/>
    </w:rPr>
  </w:style>
  <w:style w:type="character" w:customStyle="1" w:styleId="highlight">
    <w:name w:val="highlight"/>
    <w:rsid w:val="003D26E2"/>
  </w:style>
  <w:style w:type="character" w:customStyle="1" w:styleId="highlightextended">
    <w:name w:val="highlightextended"/>
    <w:rsid w:val="00161B5B"/>
  </w:style>
  <w:style w:type="character" w:customStyle="1" w:styleId="highlightsearch">
    <w:name w:val="highlightsearch"/>
    <w:rsid w:val="00161B5B"/>
  </w:style>
  <w:style w:type="character" w:customStyle="1" w:styleId="ft">
    <w:name w:val="ft"/>
    <w:rsid w:val="00F552EA"/>
    <w:rPr>
      <w:rFonts w:ascii="Times New Roman" w:hAnsi="Times New Roman" w:cs="Times New Roman" w:hint="default"/>
    </w:rPr>
  </w:style>
  <w:style w:type="character" w:styleId="Textoennegrita">
    <w:name w:val="Strong"/>
    <w:aliases w:val="pie página"/>
    <w:basedOn w:val="Fuentedeprrafopredeter"/>
    <w:uiPriority w:val="22"/>
    <w:qFormat/>
    <w:rsid w:val="00FE628E"/>
    <w:rPr>
      <w:rFonts w:ascii="Times New Roman" w:hAnsi="Times New Roman" w:cs="Times New Roman"/>
      <w:sz w:val="20"/>
    </w:rPr>
  </w:style>
  <w:style w:type="paragraph" w:styleId="Prrafodelista">
    <w:name w:val="List Paragraph"/>
    <w:basedOn w:val="Normal"/>
    <w:uiPriority w:val="34"/>
    <w:rsid w:val="00692384"/>
    <w:pPr>
      <w:ind w:left="720"/>
      <w:contextualSpacing/>
    </w:pPr>
  </w:style>
  <w:style w:type="paragraph" w:customStyle="1" w:styleId="Pa19">
    <w:name w:val="Pa19"/>
    <w:basedOn w:val="Normal"/>
    <w:next w:val="Normal"/>
    <w:uiPriority w:val="99"/>
    <w:rsid w:val="00C91C77"/>
    <w:pPr>
      <w:autoSpaceDE w:val="0"/>
      <w:autoSpaceDN w:val="0"/>
      <w:adjustRightInd w:val="0"/>
      <w:spacing w:before="0" w:after="0" w:line="201" w:lineRule="atLeast"/>
      <w:ind w:firstLine="0"/>
      <w:jc w:val="left"/>
    </w:pPr>
    <w:rPr>
      <w:rFonts w:ascii="Arial" w:hAnsi="Arial" w:cs="Arial"/>
      <w:szCs w:val="24"/>
      <w:lang w:eastAsia="es-ES"/>
    </w:rPr>
  </w:style>
  <w:style w:type="paragraph" w:customStyle="1" w:styleId="Pa18">
    <w:name w:val="Pa18"/>
    <w:basedOn w:val="Normal"/>
    <w:next w:val="Normal"/>
    <w:uiPriority w:val="99"/>
    <w:rsid w:val="00C91C77"/>
    <w:pPr>
      <w:autoSpaceDE w:val="0"/>
      <w:autoSpaceDN w:val="0"/>
      <w:adjustRightInd w:val="0"/>
      <w:spacing w:before="0" w:after="0" w:line="201" w:lineRule="atLeast"/>
      <w:ind w:firstLine="0"/>
      <w:jc w:val="left"/>
    </w:pPr>
    <w:rPr>
      <w:rFonts w:ascii="Arial" w:hAnsi="Arial" w:cs="Arial"/>
      <w:szCs w:val="24"/>
      <w:lang w:eastAsia="es-ES"/>
    </w:rPr>
  </w:style>
  <w:style w:type="paragraph" w:customStyle="1" w:styleId="Pa14">
    <w:name w:val="Pa14"/>
    <w:basedOn w:val="Normal"/>
    <w:next w:val="Normal"/>
    <w:uiPriority w:val="99"/>
    <w:rsid w:val="006646FA"/>
    <w:pPr>
      <w:autoSpaceDE w:val="0"/>
      <w:autoSpaceDN w:val="0"/>
      <w:adjustRightInd w:val="0"/>
      <w:spacing w:before="0" w:after="0" w:line="201" w:lineRule="atLeast"/>
      <w:ind w:firstLine="0"/>
      <w:jc w:val="left"/>
    </w:pPr>
    <w:rPr>
      <w:rFonts w:ascii="Arial" w:hAnsi="Arial" w:cs="Arial"/>
      <w:szCs w:val="24"/>
      <w:lang w:eastAsia="es-ES"/>
    </w:rPr>
  </w:style>
  <w:style w:type="paragraph" w:customStyle="1" w:styleId="Pa6">
    <w:name w:val="Pa6"/>
    <w:basedOn w:val="Normal"/>
    <w:next w:val="Normal"/>
    <w:uiPriority w:val="99"/>
    <w:rsid w:val="006646FA"/>
    <w:pPr>
      <w:autoSpaceDE w:val="0"/>
      <w:autoSpaceDN w:val="0"/>
      <w:adjustRightInd w:val="0"/>
      <w:spacing w:before="0" w:after="0" w:line="201" w:lineRule="atLeast"/>
      <w:ind w:firstLine="0"/>
      <w:jc w:val="left"/>
    </w:pPr>
    <w:rPr>
      <w:rFonts w:ascii="Arial" w:hAnsi="Arial" w:cs="Arial"/>
      <w:szCs w:val="24"/>
      <w:lang w:eastAsia="es-ES"/>
    </w:rPr>
  </w:style>
  <w:style w:type="paragraph" w:styleId="Puesto">
    <w:name w:val="Title"/>
    <w:basedOn w:val="Normal"/>
    <w:next w:val="Normal"/>
    <w:link w:val="PuestoCar"/>
    <w:uiPriority w:val="1"/>
    <w:unhideWhenUsed/>
    <w:rsid w:val="00E34A93"/>
    <w:pPr>
      <w:pBdr>
        <w:top w:val="single" w:sz="8" w:space="5" w:color="548DD4" w:themeColor="text2" w:themeTint="99"/>
        <w:bottom w:val="single" w:sz="8" w:space="15" w:color="548DD4" w:themeColor="text2" w:themeTint="99"/>
      </w:pBdr>
      <w:spacing w:before="0" w:after="1000"/>
      <w:ind w:firstLine="0"/>
      <w:jc w:val="center"/>
    </w:pPr>
    <w:rPr>
      <w:rFonts w:eastAsiaTheme="majorEastAsia"/>
      <w:bCs/>
      <w:caps/>
      <w:color w:val="4F81BD" w:themeColor="accent1"/>
      <w:sz w:val="56"/>
      <w:szCs w:val="56"/>
      <w:lang w:val="en-US" w:eastAsia="ja-JP"/>
    </w:rPr>
  </w:style>
  <w:style w:type="character" w:customStyle="1" w:styleId="PuestoCar">
    <w:name w:val="Puesto Car"/>
    <w:basedOn w:val="Fuentedeprrafopredeter"/>
    <w:link w:val="Puesto"/>
    <w:uiPriority w:val="1"/>
    <w:rsid w:val="00E34A93"/>
    <w:rPr>
      <w:rFonts w:ascii="Times New Roman" w:eastAsiaTheme="majorEastAsia" w:hAnsi="Times New Roman"/>
      <w:bCs/>
      <w:caps/>
      <w:color w:val="4F81BD" w:themeColor="accent1"/>
      <w:sz w:val="56"/>
      <w:szCs w:val="56"/>
      <w:lang w:val="en-US" w:eastAsia="ja-JP"/>
    </w:rPr>
  </w:style>
  <w:style w:type="character" w:styleId="nfasis">
    <w:name w:val="Emphasis"/>
    <w:uiPriority w:val="20"/>
    <w:qFormat/>
    <w:rsid w:val="008165A5"/>
  </w:style>
  <w:style w:type="paragraph" w:customStyle="1" w:styleId="Default">
    <w:name w:val="Default"/>
    <w:rsid w:val="004B6AEB"/>
    <w:pPr>
      <w:autoSpaceDE w:val="0"/>
      <w:autoSpaceDN w:val="0"/>
      <w:adjustRightInd w:val="0"/>
    </w:pPr>
    <w:rPr>
      <w:rFonts w:ascii="Times New Roman" w:hAnsi="Times New Roman"/>
      <w:color w:val="000000"/>
      <w:sz w:val="24"/>
      <w:szCs w:val="24"/>
    </w:rPr>
  </w:style>
  <w:style w:type="character" w:customStyle="1" w:styleId="A2">
    <w:name w:val="A2"/>
    <w:uiPriority w:val="99"/>
    <w:rsid w:val="00D67AB9"/>
    <w:rPr>
      <w:rFonts w:cs="Garamond 3 LT Std"/>
      <w:color w:val="000000"/>
      <w:sz w:val="21"/>
      <w:szCs w:val="21"/>
    </w:rPr>
  </w:style>
  <w:style w:type="character" w:customStyle="1" w:styleId="A5">
    <w:name w:val="A5"/>
    <w:uiPriority w:val="99"/>
    <w:rsid w:val="005B6654"/>
    <w:rPr>
      <w:rFonts w:cs="Garamond 3 LT Std"/>
      <w:color w:val="000000"/>
      <w:sz w:val="12"/>
      <w:szCs w:val="12"/>
    </w:rPr>
  </w:style>
  <w:style w:type="paragraph" w:customStyle="1" w:styleId="localizacion">
    <w:name w:val="localizacion"/>
    <w:basedOn w:val="Normal"/>
    <w:rsid w:val="007A039E"/>
    <w:pPr>
      <w:spacing w:before="100" w:beforeAutospacing="1" w:after="100" w:afterAutospacing="1"/>
      <w:ind w:firstLine="0"/>
      <w:jc w:val="left"/>
    </w:pPr>
    <w:rPr>
      <w:rFonts w:eastAsia="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2581">
      <w:bodyDiv w:val="1"/>
      <w:marLeft w:val="0"/>
      <w:marRight w:val="0"/>
      <w:marTop w:val="0"/>
      <w:marBottom w:val="0"/>
      <w:divBdr>
        <w:top w:val="none" w:sz="0" w:space="0" w:color="auto"/>
        <w:left w:val="none" w:sz="0" w:space="0" w:color="auto"/>
        <w:bottom w:val="none" w:sz="0" w:space="0" w:color="auto"/>
        <w:right w:val="none" w:sz="0" w:space="0" w:color="auto"/>
      </w:divBdr>
    </w:div>
    <w:div w:id="42751966">
      <w:bodyDiv w:val="1"/>
      <w:marLeft w:val="0"/>
      <w:marRight w:val="0"/>
      <w:marTop w:val="0"/>
      <w:marBottom w:val="0"/>
      <w:divBdr>
        <w:top w:val="none" w:sz="0" w:space="0" w:color="auto"/>
        <w:left w:val="none" w:sz="0" w:space="0" w:color="auto"/>
        <w:bottom w:val="none" w:sz="0" w:space="0" w:color="auto"/>
        <w:right w:val="none" w:sz="0" w:space="0" w:color="auto"/>
      </w:divBdr>
    </w:div>
    <w:div w:id="151065967">
      <w:bodyDiv w:val="1"/>
      <w:marLeft w:val="0"/>
      <w:marRight w:val="0"/>
      <w:marTop w:val="0"/>
      <w:marBottom w:val="0"/>
      <w:divBdr>
        <w:top w:val="none" w:sz="0" w:space="0" w:color="auto"/>
        <w:left w:val="none" w:sz="0" w:space="0" w:color="auto"/>
        <w:bottom w:val="none" w:sz="0" w:space="0" w:color="auto"/>
        <w:right w:val="none" w:sz="0" w:space="0" w:color="auto"/>
      </w:divBdr>
    </w:div>
    <w:div w:id="151261673">
      <w:bodyDiv w:val="1"/>
      <w:marLeft w:val="0"/>
      <w:marRight w:val="0"/>
      <w:marTop w:val="0"/>
      <w:marBottom w:val="0"/>
      <w:divBdr>
        <w:top w:val="none" w:sz="0" w:space="0" w:color="auto"/>
        <w:left w:val="none" w:sz="0" w:space="0" w:color="auto"/>
        <w:bottom w:val="none" w:sz="0" w:space="0" w:color="auto"/>
        <w:right w:val="none" w:sz="0" w:space="0" w:color="auto"/>
      </w:divBdr>
    </w:div>
    <w:div w:id="154614044">
      <w:bodyDiv w:val="1"/>
      <w:marLeft w:val="0"/>
      <w:marRight w:val="0"/>
      <w:marTop w:val="0"/>
      <w:marBottom w:val="0"/>
      <w:divBdr>
        <w:top w:val="none" w:sz="0" w:space="0" w:color="auto"/>
        <w:left w:val="none" w:sz="0" w:space="0" w:color="auto"/>
        <w:bottom w:val="none" w:sz="0" w:space="0" w:color="auto"/>
        <w:right w:val="none" w:sz="0" w:space="0" w:color="auto"/>
      </w:divBdr>
    </w:div>
    <w:div w:id="169565119">
      <w:bodyDiv w:val="1"/>
      <w:marLeft w:val="0"/>
      <w:marRight w:val="0"/>
      <w:marTop w:val="0"/>
      <w:marBottom w:val="0"/>
      <w:divBdr>
        <w:top w:val="none" w:sz="0" w:space="0" w:color="auto"/>
        <w:left w:val="none" w:sz="0" w:space="0" w:color="auto"/>
        <w:bottom w:val="none" w:sz="0" w:space="0" w:color="auto"/>
        <w:right w:val="none" w:sz="0" w:space="0" w:color="auto"/>
      </w:divBdr>
    </w:div>
    <w:div w:id="187262973">
      <w:bodyDiv w:val="1"/>
      <w:marLeft w:val="0"/>
      <w:marRight w:val="0"/>
      <w:marTop w:val="0"/>
      <w:marBottom w:val="0"/>
      <w:divBdr>
        <w:top w:val="none" w:sz="0" w:space="0" w:color="auto"/>
        <w:left w:val="none" w:sz="0" w:space="0" w:color="auto"/>
        <w:bottom w:val="none" w:sz="0" w:space="0" w:color="auto"/>
        <w:right w:val="none" w:sz="0" w:space="0" w:color="auto"/>
      </w:divBdr>
    </w:div>
    <w:div w:id="192764912">
      <w:bodyDiv w:val="1"/>
      <w:marLeft w:val="0"/>
      <w:marRight w:val="0"/>
      <w:marTop w:val="0"/>
      <w:marBottom w:val="0"/>
      <w:divBdr>
        <w:top w:val="none" w:sz="0" w:space="0" w:color="auto"/>
        <w:left w:val="none" w:sz="0" w:space="0" w:color="auto"/>
        <w:bottom w:val="none" w:sz="0" w:space="0" w:color="auto"/>
        <w:right w:val="none" w:sz="0" w:space="0" w:color="auto"/>
      </w:divBdr>
    </w:div>
    <w:div w:id="224800036">
      <w:bodyDiv w:val="1"/>
      <w:marLeft w:val="0"/>
      <w:marRight w:val="0"/>
      <w:marTop w:val="0"/>
      <w:marBottom w:val="0"/>
      <w:divBdr>
        <w:top w:val="none" w:sz="0" w:space="0" w:color="auto"/>
        <w:left w:val="none" w:sz="0" w:space="0" w:color="auto"/>
        <w:bottom w:val="none" w:sz="0" w:space="0" w:color="auto"/>
        <w:right w:val="none" w:sz="0" w:space="0" w:color="auto"/>
      </w:divBdr>
    </w:div>
    <w:div w:id="233591235">
      <w:bodyDiv w:val="1"/>
      <w:marLeft w:val="0"/>
      <w:marRight w:val="0"/>
      <w:marTop w:val="0"/>
      <w:marBottom w:val="0"/>
      <w:divBdr>
        <w:top w:val="none" w:sz="0" w:space="0" w:color="auto"/>
        <w:left w:val="none" w:sz="0" w:space="0" w:color="auto"/>
        <w:bottom w:val="none" w:sz="0" w:space="0" w:color="auto"/>
        <w:right w:val="none" w:sz="0" w:space="0" w:color="auto"/>
      </w:divBdr>
    </w:div>
    <w:div w:id="235632483">
      <w:bodyDiv w:val="1"/>
      <w:marLeft w:val="0"/>
      <w:marRight w:val="0"/>
      <w:marTop w:val="0"/>
      <w:marBottom w:val="0"/>
      <w:divBdr>
        <w:top w:val="none" w:sz="0" w:space="0" w:color="auto"/>
        <w:left w:val="none" w:sz="0" w:space="0" w:color="auto"/>
        <w:bottom w:val="none" w:sz="0" w:space="0" w:color="auto"/>
        <w:right w:val="none" w:sz="0" w:space="0" w:color="auto"/>
      </w:divBdr>
    </w:div>
    <w:div w:id="288824520">
      <w:bodyDiv w:val="1"/>
      <w:marLeft w:val="0"/>
      <w:marRight w:val="0"/>
      <w:marTop w:val="0"/>
      <w:marBottom w:val="0"/>
      <w:divBdr>
        <w:top w:val="none" w:sz="0" w:space="0" w:color="auto"/>
        <w:left w:val="none" w:sz="0" w:space="0" w:color="auto"/>
        <w:bottom w:val="none" w:sz="0" w:space="0" w:color="auto"/>
        <w:right w:val="none" w:sz="0" w:space="0" w:color="auto"/>
      </w:divBdr>
    </w:div>
    <w:div w:id="472723793">
      <w:bodyDiv w:val="1"/>
      <w:marLeft w:val="0"/>
      <w:marRight w:val="0"/>
      <w:marTop w:val="0"/>
      <w:marBottom w:val="0"/>
      <w:divBdr>
        <w:top w:val="none" w:sz="0" w:space="0" w:color="auto"/>
        <w:left w:val="none" w:sz="0" w:space="0" w:color="auto"/>
        <w:bottom w:val="none" w:sz="0" w:space="0" w:color="auto"/>
        <w:right w:val="none" w:sz="0" w:space="0" w:color="auto"/>
      </w:divBdr>
    </w:div>
    <w:div w:id="479149620">
      <w:bodyDiv w:val="1"/>
      <w:marLeft w:val="0"/>
      <w:marRight w:val="0"/>
      <w:marTop w:val="0"/>
      <w:marBottom w:val="0"/>
      <w:divBdr>
        <w:top w:val="none" w:sz="0" w:space="0" w:color="auto"/>
        <w:left w:val="none" w:sz="0" w:space="0" w:color="auto"/>
        <w:bottom w:val="none" w:sz="0" w:space="0" w:color="auto"/>
        <w:right w:val="none" w:sz="0" w:space="0" w:color="auto"/>
      </w:divBdr>
    </w:div>
    <w:div w:id="555820402">
      <w:bodyDiv w:val="1"/>
      <w:marLeft w:val="0"/>
      <w:marRight w:val="0"/>
      <w:marTop w:val="0"/>
      <w:marBottom w:val="0"/>
      <w:divBdr>
        <w:top w:val="none" w:sz="0" w:space="0" w:color="auto"/>
        <w:left w:val="none" w:sz="0" w:space="0" w:color="auto"/>
        <w:bottom w:val="none" w:sz="0" w:space="0" w:color="auto"/>
        <w:right w:val="none" w:sz="0" w:space="0" w:color="auto"/>
      </w:divBdr>
    </w:div>
    <w:div w:id="632760005">
      <w:bodyDiv w:val="1"/>
      <w:marLeft w:val="0"/>
      <w:marRight w:val="0"/>
      <w:marTop w:val="0"/>
      <w:marBottom w:val="0"/>
      <w:divBdr>
        <w:top w:val="none" w:sz="0" w:space="0" w:color="auto"/>
        <w:left w:val="none" w:sz="0" w:space="0" w:color="auto"/>
        <w:bottom w:val="none" w:sz="0" w:space="0" w:color="auto"/>
        <w:right w:val="none" w:sz="0" w:space="0" w:color="auto"/>
      </w:divBdr>
    </w:div>
    <w:div w:id="633875465">
      <w:bodyDiv w:val="1"/>
      <w:marLeft w:val="0"/>
      <w:marRight w:val="0"/>
      <w:marTop w:val="0"/>
      <w:marBottom w:val="0"/>
      <w:divBdr>
        <w:top w:val="none" w:sz="0" w:space="0" w:color="auto"/>
        <w:left w:val="none" w:sz="0" w:space="0" w:color="auto"/>
        <w:bottom w:val="none" w:sz="0" w:space="0" w:color="auto"/>
        <w:right w:val="none" w:sz="0" w:space="0" w:color="auto"/>
      </w:divBdr>
    </w:div>
    <w:div w:id="711417488">
      <w:bodyDiv w:val="1"/>
      <w:marLeft w:val="0"/>
      <w:marRight w:val="0"/>
      <w:marTop w:val="0"/>
      <w:marBottom w:val="0"/>
      <w:divBdr>
        <w:top w:val="none" w:sz="0" w:space="0" w:color="auto"/>
        <w:left w:val="none" w:sz="0" w:space="0" w:color="auto"/>
        <w:bottom w:val="none" w:sz="0" w:space="0" w:color="auto"/>
        <w:right w:val="none" w:sz="0" w:space="0" w:color="auto"/>
      </w:divBdr>
    </w:div>
    <w:div w:id="753550487">
      <w:bodyDiv w:val="1"/>
      <w:marLeft w:val="0"/>
      <w:marRight w:val="0"/>
      <w:marTop w:val="0"/>
      <w:marBottom w:val="0"/>
      <w:divBdr>
        <w:top w:val="none" w:sz="0" w:space="0" w:color="auto"/>
        <w:left w:val="none" w:sz="0" w:space="0" w:color="auto"/>
        <w:bottom w:val="none" w:sz="0" w:space="0" w:color="auto"/>
        <w:right w:val="none" w:sz="0" w:space="0" w:color="auto"/>
      </w:divBdr>
    </w:div>
    <w:div w:id="826438056">
      <w:bodyDiv w:val="1"/>
      <w:marLeft w:val="0"/>
      <w:marRight w:val="0"/>
      <w:marTop w:val="0"/>
      <w:marBottom w:val="0"/>
      <w:divBdr>
        <w:top w:val="none" w:sz="0" w:space="0" w:color="auto"/>
        <w:left w:val="none" w:sz="0" w:space="0" w:color="auto"/>
        <w:bottom w:val="none" w:sz="0" w:space="0" w:color="auto"/>
        <w:right w:val="none" w:sz="0" w:space="0" w:color="auto"/>
      </w:divBdr>
    </w:div>
    <w:div w:id="885527421">
      <w:bodyDiv w:val="1"/>
      <w:marLeft w:val="0"/>
      <w:marRight w:val="0"/>
      <w:marTop w:val="0"/>
      <w:marBottom w:val="0"/>
      <w:divBdr>
        <w:top w:val="none" w:sz="0" w:space="0" w:color="auto"/>
        <w:left w:val="none" w:sz="0" w:space="0" w:color="auto"/>
        <w:bottom w:val="none" w:sz="0" w:space="0" w:color="auto"/>
        <w:right w:val="none" w:sz="0" w:space="0" w:color="auto"/>
      </w:divBdr>
    </w:div>
    <w:div w:id="924613216">
      <w:bodyDiv w:val="1"/>
      <w:marLeft w:val="0"/>
      <w:marRight w:val="0"/>
      <w:marTop w:val="0"/>
      <w:marBottom w:val="0"/>
      <w:divBdr>
        <w:top w:val="none" w:sz="0" w:space="0" w:color="auto"/>
        <w:left w:val="none" w:sz="0" w:space="0" w:color="auto"/>
        <w:bottom w:val="none" w:sz="0" w:space="0" w:color="auto"/>
        <w:right w:val="none" w:sz="0" w:space="0" w:color="auto"/>
      </w:divBdr>
      <w:divsChild>
        <w:div w:id="299463366">
          <w:marLeft w:val="0"/>
          <w:marRight w:val="0"/>
          <w:marTop w:val="0"/>
          <w:marBottom w:val="0"/>
          <w:divBdr>
            <w:top w:val="none" w:sz="0" w:space="0" w:color="auto"/>
            <w:left w:val="none" w:sz="0" w:space="0" w:color="auto"/>
            <w:bottom w:val="none" w:sz="0" w:space="0" w:color="auto"/>
            <w:right w:val="none" w:sz="0" w:space="0" w:color="auto"/>
          </w:divBdr>
        </w:div>
      </w:divsChild>
    </w:div>
    <w:div w:id="933779295">
      <w:bodyDiv w:val="1"/>
      <w:marLeft w:val="0"/>
      <w:marRight w:val="0"/>
      <w:marTop w:val="0"/>
      <w:marBottom w:val="0"/>
      <w:divBdr>
        <w:top w:val="none" w:sz="0" w:space="0" w:color="auto"/>
        <w:left w:val="none" w:sz="0" w:space="0" w:color="auto"/>
        <w:bottom w:val="none" w:sz="0" w:space="0" w:color="auto"/>
        <w:right w:val="none" w:sz="0" w:space="0" w:color="auto"/>
      </w:divBdr>
    </w:div>
    <w:div w:id="935483844">
      <w:marLeft w:val="0"/>
      <w:marRight w:val="0"/>
      <w:marTop w:val="0"/>
      <w:marBottom w:val="0"/>
      <w:divBdr>
        <w:top w:val="none" w:sz="0" w:space="0" w:color="auto"/>
        <w:left w:val="none" w:sz="0" w:space="0" w:color="auto"/>
        <w:bottom w:val="none" w:sz="0" w:space="0" w:color="auto"/>
        <w:right w:val="none" w:sz="0" w:space="0" w:color="auto"/>
      </w:divBdr>
    </w:div>
    <w:div w:id="935483845">
      <w:marLeft w:val="0"/>
      <w:marRight w:val="0"/>
      <w:marTop w:val="0"/>
      <w:marBottom w:val="0"/>
      <w:divBdr>
        <w:top w:val="none" w:sz="0" w:space="0" w:color="auto"/>
        <w:left w:val="none" w:sz="0" w:space="0" w:color="auto"/>
        <w:bottom w:val="none" w:sz="0" w:space="0" w:color="auto"/>
        <w:right w:val="none" w:sz="0" w:space="0" w:color="auto"/>
      </w:divBdr>
    </w:div>
    <w:div w:id="935483846">
      <w:marLeft w:val="0"/>
      <w:marRight w:val="0"/>
      <w:marTop w:val="0"/>
      <w:marBottom w:val="0"/>
      <w:divBdr>
        <w:top w:val="none" w:sz="0" w:space="0" w:color="auto"/>
        <w:left w:val="none" w:sz="0" w:space="0" w:color="auto"/>
        <w:bottom w:val="none" w:sz="0" w:space="0" w:color="auto"/>
        <w:right w:val="none" w:sz="0" w:space="0" w:color="auto"/>
      </w:divBdr>
    </w:div>
    <w:div w:id="935483847">
      <w:marLeft w:val="0"/>
      <w:marRight w:val="0"/>
      <w:marTop w:val="0"/>
      <w:marBottom w:val="0"/>
      <w:divBdr>
        <w:top w:val="none" w:sz="0" w:space="0" w:color="auto"/>
        <w:left w:val="none" w:sz="0" w:space="0" w:color="auto"/>
        <w:bottom w:val="none" w:sz="0" w:space="0" w:color="auto"/>
        <w:right w:val="none" w:sz="0" w:space="0" w:color="auto"/>
      </w:divBdr>
    </w:div>
    <w:div w:id="935483848">
      <w:marLeft w:val="0"/>
      <w:marRight w:val="0"/>
      <w:marTop w:val="0"/>
      <w:marBottom w:val="0"/>
      <w:divBdr>
        <w:top w:val="none" w:sz="0" w:space="0" w:color="auto"/>
        <w:left w:val="none" w:sz="0" w:space="0" w:color="auto"/>
        <w:bottom w:val="none" w:sz="0" w:space="0" w:color="auto"/>
        <w:right w:val="none" w:sz="0" w:space="0" w:color="auto"/>
      </w:divBdr>
    </w:div>
    <w:div w:id="935483849">
      <w:marLeft w:val="0"/>
      <w:marRight w:val="0"/>
      <w:marTop w:val="0"/>
      <w:marBottom w:val="0"/>
      <w:divBdr>
        <w:top w:val="none" w:sz="0" w:space="0" w:color="auto"/>
        <w:left w:val="none" w:sz="0" w:space="0" w:color="auto"/>
        <w:bottom w:val="none" w:sz="0" w:space="0" w:color="auto"/>
        <w:right w:val="none" w:sz="0" w:space="0" w:color="auto"/>
      </w:divBdr>
    </w:div>
    <w:div w:id="935483850">
      <w:marLeft w:val="0"/>
      <w:marRight w:val="0"/>
      <w:marTop w:val="0"/>
      <w:marBottom w:val="0"/>
      <w:divBdr>
        <w:top w:val="none" w:sz="0" w:space="0" w:color="auto"/>
        <w:left w:val="none" w:sz="0" w:space="0" w:color="auto"/>
        <w:bottom w:val="none" w:sz="0" w:space="0" w:color="auto"/>
        <w:right w:val="none" w:sz="0" w:space="0" w:color="auto"/>
      </w:divBdr>
    </w:div>
    <w:div w:id="935483851">
      <w:marLeft w:val="0"/>
      <w:marRight w:val="0"/>
      <w:marTop w:val="0"/>
      <w:marBottom w:val="0"/>
      <w:divBdr>
        <w:top w:val="none" w:sz="0" w:space="0" w:color="auto"/>
        <w:left w:val="none" w:sz="0" w:space="0" w:color="auto"/>
        <w:bottom w:val="none" w:sz="0" w:space="0" w:color="auto"/>
        <w:right w:val="none" w:sz="0" w:space="0" w:color="auto"/>
      </w:divBdr>
    </w:div>
    <w:div w:id="935483852">
      <w:marLeft w:val="0"/>
      <w:marRight w:val="0"/>
      <w:marTop w:val="0"/>
      <w:marBottom w:val="0"/>
      <w:divBdr>
        <w:top w:val="none" w:sz="0" w:space="0" w:color="auto"/>
        <w:left w:val="none" w:sz="0" w:space="0" w:color="auto"/>
        <w:bottom w:val="none" w:sz="0" w:space="0" w:color="auto"/>
        <w:right w:val="none" w:sz="0" w:space="0" w:color="auto"/>
      </w:divBdr>
    </w:div>
    <w:div w:id="935483853">
      <w:marLeft w:val="0"/>
      <w:marRight w:val="0"/>
      <w:marTop w:val="0"/>
      <w:marBottom w:val="0"/>
      <w:divBdr>
        <w:top w:val="none" w:sz="0" w:space="0" w:color="auto"/>
        <w:left w:val="none" w:sz="0" w:space="0" w:color="auto"/>
        <w:bottom w:val="none" w:sz="0" w:space="0" w:color="auto"/>
        <w:right w:val="none" w:sz="0" w:space="0" w:color="auto"/>
      </w:divBdr>
    </w:div>
    <w:div w:id="935483854">
      <w:marLeft w:val="0"/>
      <w:marRight w:val="0"/>
      <w:marTop w:val="0"/>
      <w:marBottom w:val="0"/>
      <w:divBdr>
        <w:top w:val="none" w:sz="0" w:space="0" w:color="auto"/>
        <w:left w:val="none" w:sz="0" w:space="0" w:color="auto"/>
        <w:bottom w:val="none" w:sz="0" w:space="0" w:color="auto"/>
        <w:right w:val="none" w:sz="0" w:space="0" w:color="auto"/>
      </w:divBdr>
    </w:div>
    <w:div w:id="935483855">
      <w:marLeft w:val="0"/>
      <w:marRight w:val="0"/>
      <w:marTop w:val="0"/>
      <w:marBottom w:val="0"/>
      <w:divBdr>
        <w:top w:val="none" w:sz="0" w:space="0" w:color="auto"/>
        <w:left w:val="none" w:sz="0" w:space="0" w:color="auto"/>
        <w:bottom w:val="none" w:sz="0" w:space="0" w:color="auto"/>
        <w:right w:val="none" w:sz="0" w:space="0" w:color="auto"/>
      </w:divBdr>
    </w:div>
    <w:div w:id="935483856">
      <w:marLeft w:val="0"/>
      <w:marRight w:val="0"/>
      <w:marTop w:val="0"/>
      <w:marBottom w:val="0"/>
      <w:divBdr>
        <w:top w:val="none" w:sz="0" w:space="0" w:color="auto"/>
        <w:left w:val="none" w:sz="0" w:space="0" w:color="auto"/>
        <w:bottom w:val="none" w:sz="0" w:space="0" w:color="auto"/>
        <w:right w:val="none" w:sz="0" w:space="0" w:color="auto"/>
      </w:divBdr>
    </w:div>
    <w:div w:id="935483857">
      <w:marLeft w:val="0"/>
      <w:marRight w:val="0"/>
      <w:marTop w:val="0"/>
      <w:marBottom w:val="0"/>
      <w:divBdr>
        <w:top w:val="none" w:sz="0" w:space="0" w:color="auto"/>
        <w:left w:val="none" w:sz="0" w:space="0" w:color="auto"/>
        <w:bottom w:val="none" w:sz="0" w:space="0" w:color="auto"/>
        <w:right w:val="none" w:sz="0" w:space="0" w:color="auto"/>
      </w:divBdr>
    </w:div>
    <w:div w:id="935483858">
      <w:marLeft w:val="0"/>
      <w:marRight w:val="0"/>
      <w:marTop w:val="0"/>
      <w:marBottom w:val="0"/>
      <w:divBdr>
        <w:top w:val="none" w:sz="0" w:space="0" w:color="auto"/>
        <w:left w:val="none" w:sz="0" w:space="0" w:color="auto"/>
        <w:bottom w:val="none" w:sz="0" w:space="0" w:color="auto"/>
        <w:right w:val="none" w:sz="0" w:space="0" w:color="auto"/>
      </w:divBdr>
    </w:div>
    <w:div w:id="935483859">
      <w:marLeft w:val="0"/>
      <w:marRight w:val="0"/>
      <w:marTop w:val="0"/>
      <w:marBottom w:val="0"/>
      <w:divBdr>
        <w:top w:val="none" w:sz="0" w:space="0" w:color="auto"/>
        <w:left w:val="none" w:sz="0" w:space="0" w:color="auto"/>
        <w:bottom w:val="none" w:sz="0" w:space="0" w:color="auto"/>
        <w:right w:val="none" w:sz="0" w:space="0" w:color="auto"/>
      </w:divBdr>
    </w:div>
    <w:div w:id="935483860">
      <w:marLeft w:val="0"/>
      <w:marRight w:val="0"/>
      <w:marTop w:val="0"/>
      <w:marBottom w:val="0"/>
      <w:divBdr>
        <w:top w:val="none" w:sz="0" w:space="0" w:color="auto"/>
        <w:left w:val="none" w:sz="0" w:space="0" w:color="auto"/>
        <w:bottom w:val="none" w:sz="0" w:space="0" w:color="auto"/>
        <w:right w:val="none" w:sz="0" w:space="0" w:color="auto"/>
      </w:divBdr>
    </w:div>
    <w:div w:id="935483861">
      <w:marLeft w:val="0"/>
      <w:marRight w:val="0"/>
      <w:marTop w:val="0"/>
      <w:marBottom w:val="0"/>
      <w:divBdr>
        <w:top w:val="none" w:sz="0" w:space="0" w:color="auto"/>
        <w:left w:val="none" w:sz="0" w:space="0" w:color="auto"/>
        <w:bottom w:val="none" w:sz="0" w:space="0" w:color="auto"/>
        <w:right w:val="none" w:sz="0" w:space="0" w:color="auto"/>
      </w:divBdr>
    </w:div>
    <w:div w:id="935483862">
      <w:marLeft w:val="0"/>
      <w:marRight w:val="0"/>
      <w:marTop w:val="0"/>
      <w:marBottom w:val="0"/>
      <w:divBdr>
        <w:top w:val="none" w:sz="0" w:space="0" w:color="auto"/>
        <w:left w:val="none" w:sz="0" w:space="0" w:color="auto"/>
        <w:bottom w:val="none" w:sz="0" w:space="0" w:color="auto"/>
        <w:right w:val="none" w:sz="0" w:space="0" w:color="auto"/>
      </w:divBdr>
    </w:div>
    <w:div w:id="935483863">
      <w:marLeft w:val="0"/>
      <w:marRight w:val="0"/>
      <w:marTop w:val="0"/>
      <w:marBottom w:val="0"/>
      <w:divBdr>
        <w:top w:val="none" w:sz="0" w:space="0" w:color="auto"/>
        <w:left w:val="none" w:sz="0" w:space="0" w:color="auto"/>
        <w:bottom w:val="none" w:sz="0" w:space="0" w:color="auto"/>
        <w:right w:val="none" w:sz="0" w:space="0" w:color="auto"/>
      </w:divBdr>
    </w:div>
    <w:div w:id="935483864">
      <w:marLeft w:val="0"/>
      <w:marRight w:val="0"/>
      <w:marTop w:val="0"/>
      <w:marBottom w:val="0"/>
      <w:divBdr>
        <w:top w:val="none" w:sz="0" w:space="0" w:color="auto"/>
        <w:left w:val="none" w:sz="0" w:space="0" w:color="auto"/>
        <w:bottom w:val="none" w:sz="0" w:space="0" w:color="auto"/>
        <w:right w:val="none" w:sz="0" w:space="0" w:color="auto"/>
      </w:divBdr>
    </w:div>
    <w:div w:id="935483865">
      <w:marLeft w:val="0"/>
      <w:marRight w:val="0"/>
      <w:marTop w:val="0"/>
      <w:marBottom w:val="0"/>
      <w:divBdr>
        <w:top w:val="none" w:sz="0" w:space="0" w:color="auto"/>
        <w:left w:val="none" w:sz="0" w:space="0" w:color="auto"/>
        <w:bottom w:val="none" w:sz="0" w:space="0" w:color="auto"/>
        <w:right w:val="none" w:sz="0" w:space="0" w:color="auto"/>
      </w:divBdr>
    </w:div>
    <w:div w:id="935483866">
      <w:marLeft w:val="0"/>
      <w:marRight w:val="0"/>
      <w:marTop w:val="0"/>
      <w:marBottom w:val="0"/>
      <w:divBdr>
        <w:top w:val="none" w:sz="0" w:space="0" w:color="auto"/>
        <w:left w:val="none" w:sz="0" w:space="0" w:color="auto"/>
        <w:bottom w:val="none" w:sz="0" w:space="0" w:color="auto"/>
        <w:right w:val="none" w:sz="0" w:space="0" w:color="auto"/>
      </w:divBdr>
      <w:divsChild>
        <w:div w:id="935483875">
          <w:marLeft w:val="0"/>
          <w:marRight w:val="0"/>
          <w:marTop w:val="0"/>
          <w:marBottom w:val="0"/>
          <w:divBdr>
            <w:top w:val="none" w:sz="0" w:space="0" w:color="auto"/>
            <w:left w:val="none" w:sz="0" w:space="0" w:color="auto"/>
            <w:bottom w:val="none" w:sz="0" w:space="0" w:color="auto"/>
            <w:right w:val="none" w:sz="0" w:space="0" w:color="auto"/>
          </w:divBdr>
          <w:divsChild>
            <w:div w:id="935483903">
              <w:marLeft w:val="0"/>
              <w:marRight w:val="0"/>
              <w:marTop w:val="0"/>
              <w:marBottom w:val="0"/>
              <w:divBdr>
                <w:top w:val="none" w:sz="0" w:space="0" w:color="auto"/>
                <w:left w:val="none" w:sz="0" w:space="0" w:color="auto"/>
                <w:bottom w:val="none" w:sz="0" w:space="0" w:color="auto"/>
                <w:right w:val="none" w:sz="0" w:space="0" w:color="auto"/>
              </w:divBdr>
              <w:divsChild>
                <w:div w:id="935483912">
                  <w:marLeft w:val="0"/>
                  <w:marRight w:val="0"/>
                  <w:marTop w:val="0"/>
                  <w:marBottom w:val="0"/>
                  <w:divBdr>
                    <w:top w:val="none" w:sz="0" w:space="0" w:color="auto"/>
                    <w:left w:val="none" w:sz="0" w:space="0" w:color="auto"/>
                    <w:bottom w:val="none" w:sz="0" w:space="0" w:color="auto"/>
                    <w:right w:val="none" w:sz="0" w:space="0" w:color="auto"/>
                  </w:divBdr>
                  <w:divsChild>
                    <w:div w:id="935483871">
                      <w:marLeft w:val="0"/>
                      <w:marRight w:val="0"/>
                      <w:marTop w:val="0"/>
                      <w:marBottom w:val="0"/>
                      <w:divBdr>
                        <w:top w:val="none" w:sz="0" w:space="0" w:color="auto"/>
                        <w:left w:val="none" w:sz="0" w:space="0" w:color="auto"/>
                        <w:bottom w:val="none" w:sz="0" w:space="0" w:color="auto"/>
                        <w:right w:val="none" w:sz="0" w:space="0" w:color="auto"/>
                      </w:divBdr>
                      <w:divsChild>
                        <w:div w:id="93548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483870">
      <w:marLeft w:val="0"/>
      <w:marRight w:val="0"/>
      <w:marTop w:val="0"/>
      <w:marBottom w:val="0"/>
      <w:divBdr>
        <w:top w:val="none" w:sz="0" w:space="0" w:color="auto"/>
        <w:left w:val="none" w:sz="0" w:space="0" w:color="auto"/>
        <w:bottom w:val="none" w:sz="0" w:space="0" w:color="auto"/>
        <w:right w:val="none" w:sz="0" w:space="0" w:color="auto"/>
      </w:divBdr>
      <w:divsChild>
        <w:div w:id="935483869">
          <w:marLeft w:val="0"/>
          <w:marRight w:val="0"/>
          <w:marTop w:val="0"/>
          <w:marBottom w:val="0"/>
          <w:divBdr>
            <w:top w:val="none" w:sz="0" w:space="0" w:color="auto"/>
            <w:left w:val="none" w:sz="0" w:space="0" w:color="auto"/>
            <w:bottom w:val="none" w:sz="0" w:space="0" w:color="auto"/>
            <w:right w:val="none" w:sz="0" w:space="0" w:color="auto"/>
          </w:divBdr>
        </w:div>
      </w:divsChild>
    </w:div>
    <w:div w:id="935483873">
      <w:marLeft w:val="0"/>
      <w:marRight w:val="0"/>
      <w:marTop w:val="0"/>
      <w:marBottom w:val="0"/>
      <w:divBdr>
        <w:top w:val="none" w:sz="0" w:space="0" w:color="auto"/>
        <w:left w:val="none" w:sz="0" w:space="0" w:color="auto"/>
        <w:bottom w:val="none" w:sz="0" w:space="0" w:color="auto"/>
        <w:right w:val="none" w:sz="0" w:space="0" w:color="auto"/>
      </w:divBdr>
    </w:div>
    <w:div w:id="935483874">
      <w:marLeft w:val="0"/>
      <w:marRight w:val="0"/>
      <w:marTop w:val="0"/>
      <w:marBottom w:val="0"/>
      <w:divBdr>
        <w:top w:val="none" w:sz="0" w:space="0" w:color="auto"/>
        <w:left w:val="none" w:sz="0" w:space="0" w:color="auto"/>
        <w:bottom w:val="none" w:sz="0" w:space="0" w:color="auto"/>
        <w:right w:val="none" w:sz="0" w:space="0" w:color="auto"/>
      </w:divBdr>
    </w:div>
    <w:div w:id="935483876">
      <w:marLeft w:val="0"/>
      <w:marRight w:val="0"/>
      <w:marTop w:val="0"/>
      <w:marBottom w:val="0"/>
      <w:divBdr>
        <w:top w:val="none" w:sz="0" w:space="0" w:color="auto"/>
        <w:left w:val="none" w:sz="0" w:space="0" w:color="auto"/>
        <w:bottom w:val="none" w:sz="0" w:space="0" w:color="auto"/>
        <w:right w:val="none" w:sz="0" w:space="0" w:color="auto"/>
      </w:divBdr>
    </w:div>
    <w:div w:id="935483877">
      <w:marLeft w:val="0"/>
      <w:marRight w:val="0"/>
      <w:marTop w:val="0"/>
      <w:marBottom w:val="0"/>
      <w:divBdr>
        <w:top w:val="none" w:sz="0" w:space="0" w:color="auto"/>
        <w:left w:val="none" w:sz="0" w:space="0" w:color="auto"/>
        <w:bottom w:val="none" w:sz="0" w:space="0" w:color="auto"/>
        <w:right w:val="none" w:sz="0" w:space="0" w:color="auto"/>
      </w:divBdr>
    </w:div>
    <w:div w:id="935483878">
      <w:marLeft w:val="0"/>
      <w:marRight w:val="0"/>
      <w:marTop w:val="0"/>
      <w:marBottom w:val="0"/>
      <w:divBdr>
        <w:top w:val="none" w:sz="0" w:space="0" w:color="auto"/>
        <w:left w:val="none" w:sz="0" w:space="0" w:color="auto"/>
        <w:bottom w:val="none" w:sz="0" w:space="0" w:color="auto"/>
        <w:right w:val="none" w:sz="0" w:space="0" w:color="auto"/>
      </w:divBdr>
    </w:div>
    <w:div w:id="935483880">
      <w:marLeft w:val="0"/>
      <w:marRight w:val="0"/>
      <w:marTop w:val="0"/>
      <w:marBottom w:val="0"/>
      <w:divBdr>
        <w:top w:val="none" w:sz="0" w:space="0" w:color="auto"/>
        <w:left w:val="none" w:sz="0" w:space="0" w:color="auto"/>
        <w:bottom w:val="none" w:sz="0" w:space="0" w:color="auto"/>
        <w:right w:val="none" w:sz="0" w:space="0" w:color="auto"/>
      </w:divBdr>
    </w:div>
    <w:div w:id="935483882">
      <w:marLeft w:val="0"/>
      <w:marRight w:val="0"/>
      <w:marTop w:val="0"/>
      <w:marBottom w:val="0"/>
      <w:divBdr>
        <w:top w:val="none" w:sz="0" w:space="0" w:color="auto"/>
        <w:left w:val="none" w:sz="0" w:space="0" w:color="auto"/>
        <w:bottom w:val="none" w:sz="0" w:space="0" w:color="auto"/>
        <w:right w:val="none" w:sz="0" w:space="0" w:color="auto"/>
      </w:divBdr>
    </w:div>
    <w:div w:id="935483883">
      <w:marLeft w:val="0"/>
      <w:marRight w:val="0"/>
      <w:marTop w:val="0"/>
      <w:marBottom w:val="0"/>
      <w:divBdr>
        <w:top w:val="none" w:sz="0" w:space="0" w:color="auto"/>
        <w:left w:val="none" w:sz="0" w:space="0" w:color="auto"/>
        <w:bottom w:val="none" w:sz="0" w:space="0" w:color="auto"/>
        <w:right w:val="none" w:sz="0" w:space="0" w:color="auto"/>
      </w:divBdr>
    </w:div>
    <w:div w:id="935483884">
      <w:marLeft w:val="0"/>
      <w:marRight w:val="0"/>
      <w:marTop w:val="0"/>
      <w:marBottom w:val="0"/>
      <w:divBdr>
        <w:top w:val="none" w:sz="0" w:space="0" w:color="auto"/>
        <w:left w:val="none" w:sz="0" w:space="0" w:color="auto"/>
        <w:bottom w:val="none" w:sz="0" w:space="0" w:color="auto"/>
        <w:right w:val="none" w:sz="0" w:space="0" w:color="auto"/>
      </w:divBdr>
    </w:div>
    <w:div w:id="935483885">
      <w:marLeft w:val="0"/>
      <w:marRight w:val="0"/>
      <w:marTop w:val="0"/>
      <w:marBottom w:val="0"/>
      <w:divBdr>
        <w:top w:val="none" w:sz="0" w:space="0" w:color="auto"/>
        <w:left w:val="none" w:sz="0" w:space="0" w:color="auto"/>
        <w:bottom w:val="none" w:sz="0" w:space="0" w:color="auto"/>
        <w:right w:val="none" w:sz="0" w:space="0" w:color="auto"/>
      </w:divBdr>
    </w:div>
    <w:div w:id="935483887">
      <w:marLeft w:val="0"/>
      <w:marRight w:val="0"/>
      <w:marTop w:val="0"/>
      <w:marBottom w:val="0"/>
      <w:divBdr>
        <w:top w:val="none" w:sz="0" w:space="0" w:color="auto"/>
        <w:left w:val="none" w:sz="0" w:space="0" w:color="auto"/>
        <w:bottom w:val="none" w:sz="0" w:space="0" w:color="auto"/>
        <w:right w:val="none" w:sz="0" w:space="0" w:color="auto"/>
      </w:divBdr>
    </w:div>
    <w:div w:id="935483888">
      <w:marLeft w:val="0"/>
      <w:marRight w:val="0"/>
      <w:marTop w:val="0"/>
      <w:marBottom w:val="0"/>
      <w:divBdr>
        <w:top w:val="none" w:sz="0" w:space="0" w:color="auto"/>
        <w:left w:val="none" w:sz="0" w:space="0" w:color="auto"/>
        <w:bottom w:val="none" w:sz="0" w:space="0" w:color="auto"/>
        <w:right w:val="none" w:sz="0" w:space="0" w:color="auto"/>
      </w:divBdr>
    </w:div>
    <w:div w:id="935483889">
      <w:marLeft w:val="0"/>
      <w:marRight w:val="0"/>
      <w:marTop w:val="0"/>
      <w:marBottom w:val="0"/>
      <w:divBdr>
        <w:top w:val="none" w:sz="0" w:space="0" w:color="auto"/>
        <w:left w:val="none" w:sz="0" w:space="0" w:color="auto"/>
        <w:bottom w:val="none" w:sz="0" w:space="0" w:color="auto"/>
        <w:right w:val="none" w:sz="0" w:space="0" w:color="auto"/>
      </w:divBdr>
      <w:divsChild>
        <w:div w:id="935483867">
          <w:marLeft w:val="0"/>
          <w:marRight w:val="0"/>
          <w:marTop w:val="0"/>
          <w:marBottom w:val="0"/>
          <w:divBdr>
            <w:top w:val="none" w:sz="0" w:space="0" w:color="auto"/>
            <w:left w:val="none" w:sz="0" w:space="0" w:color="auto"/>
            <w:bottom w:val="none" w:sz="0" w:space="0" w:color="auto"/>
            <w:right w:val="none" w:sz="0" w:space="0" w:color="auto"/>
          </w:divBdr>
          <w:divsChild>
            <w:div w:id="935483894">
              <w:marLeft w:val="0"/>
              <w:marRight w:val="0"/>
              <w:marTop w:val="0"/>
              <w:marBottom w:val="0"/>
              <w:divBdr>
                <w:top w:val="none" w:sz="0" w:space="0" w:color="auto"/>
                <w:left w:val="none" w:sz="0" w:space="0" w:color="auto"/>
                <w:bottom w:val="none" w:sz="0" w:space="0" w:color="auto"/>
                <w:right w:val="none" w:sz="0" w:space="0" w:color="auto"/>
              </w:divBdr>
            </w:div>
          </w:divsChild>
        </w:div>
        <w:div w:id="935483915">
          <w:marLeft w:val="0"/>
          <w:marRight w:val="0"/>
          <w:marTop w:val="0"/>
          <w:marBottom w:val="0"/>
          <w:divBdr>
            <w:top w:val="none" w:sz="0" w:space="0" w:color="auto"/>
            <w:left w:val="none" w:sz="0" w:space="0" w:color="auto"/>
            <w:bottom w:val="none" w:sz="0" w:space="0" w:color="auto"/>
            <w:right w:val="none" w:sz="0" w:space="0" w:color="auto"/>
          </w:divBdr>
          <w:divsChild>
            <w:div w:id="93548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483890">
      <w:marLeft w:val="0"/>
      <w:marRight w:val="0"/>
      <w:marTop w:val="0"/>
      <w:marBottom w:val="0"/>
      <w:divBdr>
        <w:top w:val="none" w:sz="0" w:space="0" w:color="auto"/>
        <w:left w:val="none" w:sz="0" w:space="0" w:color="auto"/>
        <w:bottom w:val="none" w:sz="0" w:space="0" w:color="auto"/>
        <w:right w:val="none" w:sz="0" w:space="0" w:color="auto"/>
      </w:divBdr>
    </w:div>
    <w:div w:id="935483891">
      <w:marLeft w:val="0"/>
      <w:marRight w:val="0"/>
      <w:marTop w:val="0"/>
      <w:marBottom w:val="0"/>
      <w:divBdr>
        <w:top w:val="none" w:sz="0" w:space="0" w:color="auto"/>
        <w:left w:val="none" w:sz="0" w:space="0" w:color="auto"/>
        <w:bottom w:val="none" w:sz="0" w:space="0" w:color="auto"/>
        <w:right w:val="none" w:sz="0" w:space="0" w:color="auto"/>
      </w:divBdr>
    </w:div>
    <w:div w:id="935483892">
      <w:marLeft w:val="0"/>
      <w:marRight w:val="0"/>
      <w:marTop w:val="0"/>
      <w:marBottom w:val="0"/>
      <w:divBdr>
        <w:top w:val="none" w:sz="0" w:space="0" w:color="auto"/>
        <w:left w:val="none" w:sz="0" w:space="0" w:color="auto"/>
        <w:bottom w:val="none" w:sz="0" w:space="0" w:color="auto"/>
        <w:right w:val="none" w:sz="0" w:space="0" w:color="auto"/>
      </w:divBdr>
      <w:divsChild>
        <w:div w:id="935483868">
          <w:marLeft w:val="0"/>
          <w:marRight w:val="0"/>
          <w:marTop w:val="0"/>
          <w:marBottom w:val="0"/>
          <w:divBdr>
            <w:top w:val="none" w:sz="0" w:space="0" w:color="auto"/>
            <w:left w:val="none" w:sz="0" w:space="0" w:color="auto"/>
            <w:bottom w:val="none" w:sz="0" w:space="0" w:color="auto"/>
            <w:right w:val="none" w:sz="0" w:space="0" w:color="auto"/>
          </w:divBdr>
        </w:div>
        <w:div w:id="935483872">
          <w:marLeft w:val="0"/>
          <w:marRight w:val="0"/>
          <w:marTop w:val="0"/>
          <w:marBottom w:val="0"/>
          <w:divBdr>
            <w:top w:val="none" w:sz="0" w:space="0" w:color="auto"/>
            <w:left w:val="none" w:sz="0" w:space="0" w:color="auto"/>
            <w:bottom w:val="none" w:sz="0" w:space="0" w:color="auto"/>
            <w:right w:val="none" w:sz="0" w:space="0" w:color="auto"/>
          </w:divBdr>
        </w:div>
        <w:div w:id="935483881">
          <w:marLeft w:val="0"/>
          <w:marRight w:val="0"/>
          <w:marTop w:val="0"/>
          <w:marBottom w:val="0"/>
          <w:divBdr>
            <w:top w:val="none" w:sz="0" w:space="0" w:color="auto"/>
            <w:left w:val="none" w:sz="0" w:space="0" w:color="auto"/>
            <w:bottom w:val="none" w:sz="0" w:space="0" w:color="auto"/>
            <w:right w:val="none" w:sz="0" w:space="0" w:color="auto"/>
          </w:divBdr>
        </w:div>
        <w:div w:id="935483886">
          <w:marLeft w:val="0"/>
          <w:marRight w:val="0"/>
          <w:marTop w:val="0"/>
          <w:marBottom w:val="0"/>
          <w:divBdr>
            <w:top w:val="none" w:sz="0" w:space="0" w:color="auto"/>
            <w:left w:val="none" w:sz="0" w:space="0" w:color="auto"/>
            <w:bottom w:val="none" w:sz="0" w:space="0" w:color="auto"/>
            <w:right w:val="none" w:sz="0" w:space="0" w:color="auto"/>
          </w:divBdr>
        </w:div>
        <w:div w:id="935483920">
          <w:marLeft w:val="0"/>
          <w:marRight w:val="0"/>
          <w:marTop w:val="0"/>
          <w:marBottom w:val="0"/>
          <w:divBdr>
            <w:top w:val="none" w:sz="0" w:space="0" w:color="auto"/>
            <w:left w:val="none" w:sz="0" w:space="0" w:color="auto"/>
            <w:bottom w:val="none" w:sz="0" w:space="0" w:color="auto"/>
            <w:right w:val="none" w:sz="0" w:space="0" w:color="auto"/>
          </w:divBdr>
        </w:div>
      </w:divsChild>
    </w:div>
    <w:div w:id="935483893">
      <w:marLeft w:val="0"/>
      <w:marRight w:val="0"/>
      <w:marTop w:val="0"/>
      <w:marBottom w:val="0"/>
      <w:divBdr>
        <w:top w:val="none" w:sz="0" w:space="0" w:color="auto"/>
        <w:left w:val="none" w:sz="0" w:space="0" w:color="auto"/>
        <w:bottom w:val="none" w:sz="0" w:space="0" w:color="auto"/>
        <w:right w:val="none" w:sz="0" w:space="0" w:color="auto"/>
      </w:divBdr>
    </w:div>
    <w:div w:id="935483895">
      <w:marLeft w:val="0"/>
      <w:marRight w:val="0"/>
      <w:marTop w:val="0"/>
      <w:marBottom w:val="0"/>
      <w:divBdr>
        <w:top w:val="none" w:sz="0" w:space="0" w:color="auto"/>
        <w:left w:val="none" w:sz="0" w:space="0" w:color="auto"/>
        <w:bottom w:val="none" w:sz="0" w:space="0" w:color="auto"/>
        <w:right w:val="none" w:sz="0" w:space="0" w:color="auto"/>
      </w:divBdr>
    </w:div>
    <w:div w:id="935483896">
      <w:marLeft w:val="0"/>
      <w:marRight w:val="0"/>
      <w:marTop w:val="0"/>
      <w:marBottom w:val="0"/>
      <w:divBdr>
        <w:top w:val="none" w:sz="0" w:space="0" w:color="auto"/>
        <w:left w:val="none" w:sz="0" w:space="0" w:color="auto"/>
        <w:bottom w:val="none" w:sz="0" w:space="0" w:color="auto"/>
        <w:right w:val="none" w:sz="0" w:space="0" w:color="auto"/>
      </w:divBdr>
      <w:divsChild>
        <w:div w:id="935483904">
          <w:marLeft w:val="0"/>
          <w:marRight w:val="0"/>
          <w:marTop w:val="0"/>
          <w:marBottom w:val="0"/>
          <w:divBdr>
            <w:top w:val="none" w:sz="0" w:space="0" w:color="auto"/>
            <w:left w:val="none" w:sz="0" w:space="0" w:color="auto"/>
            <w:bottom w:val="none" w:sz="0" w:space="0" w:color="auto"/>
            <w:right w:val="none" w:sz="0" w:space="0" w:color="auto"/>
          </w:divBdr>
        </w:div>
      </w:divsChild>
    </w:div>
    <w:div w:id="935483897">
      <w:marLeft w:val="0"/>
      <w:marRight w:val="0"/>
      <w:marTop w:val="0"/>
      <w:marBottom w:val="0"/>
      <w:divBdr>
        <w:top w:val="none" w:sz="0" w:space="0" w:color="auto"/>
        <w:left w:val="none" w:sz="0" w:space="0" w:color="auto"/>
        <w:bottom w:val="none" w:sz="0" w:space="0" w:color="auto"/>
        <w:right w:val="none" w:sz="0" w:space="0" w:color="auto"/>
      </w:divBdr>
    </w:div>
    <w:div w:id="935483899">
      <w:marLeft w:val="0"/>
      <w:marRight w:val="0"/>
      <w:marTop w:val="0"/>
      <w:marBottom w:val="0"/>
      <w:divBdr>
        <w:top w:val="none" w:sz="0" w:space="0" w:color="auto"/>
        <w:left w:val="none" w:sz="0" w:space="0" w:color="auto"/>
        <w:bottom w:val="none" w:sz="0" w:space="0" w:color="auto"/>
        <w:right w:val="none" w:sz="0" w:space="0" w:color="auto"/>
      </w:divBdr>
    </w:div>
    <w:div w:id="935483900">
      <w:marLeft w:val="0"/>
      <w:marRight w:val="0"/>
      <w:marTop w:val="0"/>
      <w:marBottom w:val="0"/>
      <w:divBdr>
        <w:top w:val="none" w:sz="0" w:space="0" w:color="auto"/>
        <w:left w:val="none" w:sz="0" w:space="0" w:color="auto"/>
        <w:bottom w:val="none" w:sz="0" w:space="0" w:color="auto"/>
        <w:right w:val="none" w:sz="0" w:space="0" w:color="auto"/>
      </w:divBdr>
    </w:div>
    <w:div w:id="935483901">
      <w:marLeft w:val="0"/>
      <w:marRight w:val="0"/>
      <w:marTop w:val="0"/>
      <w:marBottom w:val="0"/>
      <w:divBdr>
        <w:top w:val="none" w:sz="0" w:space="0" w:color="auto"/>
        <w:left w:val="none" w:sz="0" w:space="0" w:color="auto"/>
        <w:bottom w:val="none" w:sz="0" w:space="0" w:color="auto"/>
        <w:right w:val="none" w:sz="0" w:space="0" w:color="auto"/>
      </w:divBdr>
    </w:div>
    <w:div w:id="935483905">
      <w:marLeft w:val="0"/>
      <w:marRight w:val="0"/>
      <w:marTop w:val="0"/>
      <w:marBottom w:val="0"/>
      <w:divBdr>
        <w:top w:val="none" w:sz="0" w:space="0" w:color="auto"/>
        <w:left w:val="none" w:sz="0" w:space="0" w:color="auto"/>
        <w:bottom w:val="none" w:sz="0" w:space="0" w:color="auto"/>
        <w:right w:val="none" w:sz="0" w:space="0" w:color="auto"/>
      </w:divBdr>
    </w:div>
    <w:div w:id="935483907">
      <w:marLeft w:val="0"/>
      <w:marRight w:val="0"/>
      <w:marTop w:val="0"/>
      <w:marBottom w:val="0"/>
      <w:divBdr>
        <w:top w:val="none" w:sz="0" w:space="0" w:color="auto"/>
        <w:left w:val="none" w:sz="0" w:space="0" w:color="auto"/>
        <w:bottom w:val="none" w:sz="0" w:space="0" w:color="auto"/>
        <w:right w:val="none" w:sz="0" w:space="0" w:color="auto"/>
      </w:divBdr>
    </w:div>
    <w:div w:id="935483908">
      <w:marLeft w:val="0"/>
      <w:marRight w:val="0"/>
      <w:marTop w:val="0"/>
      <w:marBottom w:val="0"/>
      <w:divBdr>
        <w:top w:val="none" w:sz="0" w:space="0" w:color="auto"/>
        <w:left w:val="none" w:sz="0" w:space="0" w:color="auto"/>
        <w:bottom w:val="none" w:sz="0" w:space="0" w:color="auto"/>
        <w:right w:val="none" w:sz="0" w:space="0" w:color="auto"/>
      </w:divBdr>
    </w:div>
    <w:div w:id="935483909">
      <w:marLeft w:val="0"/>
      <w:marRight w:val="0"/>
      <w:marTop w:val="0"/>
      <w:marBottom w:val="0"/>
      <w:divBdr>
        <w:top w:val="none" w:sz="0" w:space="0" w:color="auto"/>
        <w:left w:val="none" w:sz="0" w:space="0" w:color="auto"/>
        <w:bottom w:val="none" w:sz="0" w:space="0" w:color="auto"/>
        <w:right w:val="none" w:sz="0" w:space="0" w:color="auto"/>
      </w:divBdr>
    </w:div>
    <w:div w:id="935483911">
      <w:marLeft w:val="0"/>
      <w:marRight w:val="0"/>
      <w:marTop w:val="0"/>
      <w:marBottom w:val="0"/>
      <w:divBdr>
        <w:top w:val="none" w:sz="0" w:space="0" w:color="auto"/>
        <w:left w:val="none" w:sz="0" w:space="0" w:color="auto"/>
        <w:bottom w:val="none" w:sz="0" w:space="0" w:color="auto"/>
        <w:right w:val="none" w:sz="0" w:space="0" w:color="auto"/>
      </w:divBdr>
    </w:div>
    <w:div w:id="935483913">
      <w:marLeft w:val="0"/>
      <w:marRight w:val="0"/>
      <w:marTop w:val="0"/>
      <w:marBottom w:val="0"/>
      <w:divBdr>
        <w:top w:val="none" w:sz="0" w:space="0" w:color="auto"/>
        <w:left w:val="none" w:sz="0" w:space="0" w:color="auto"/>
        <w:bottom w:val="none" w:sz="0" w:space="0" w:color="auto"/>
        <w:right w:val="none" w:sz="0" w:space="0" w:color="auto"/>
      </w:divBdr>
    </w:div>
    <w:div w:id="935483914">
      <w:marLeft w:val="0"/>
      <w:marRight w:val="0"/>
      <w:marTop w:val="0"/>
      <w:marBottom w:val="0"/>
      <w:divBdr>
        <w:top w:val="none" w:sz="0" w:space="0" w:color="auto"/>
        <w:left w:val="none" w:sz="0" w:space="0" w:color="auto"/>
        <w:bottom w:val="none" w:sz="0" w:space="0" w:color="auto"/>
        <w:right w:val="none" w:sz="0" w:space="0" w:color="auto"/>
      </w:divBdr>
    </w:div>
    <w:div w:id="935483916">
      <w:marLeft w:val="0"/>
      <w:marRight w:val="0"/>
      <w:marTop w:val="0"/>
      <w:marBottom w:val="0"/>
      <w:divBdr>
        <w:top w:val="none" w:sz="0" w:space="0" w:color="auto"/>
        <w:left w:val="none" w:sz="0" w:space="0" w:color="auto"/>
        <w:bottom w:val="none" w:sz="0" w:space="0" w:color="auto"/>
        <w:right w:val="none" w:sz="0" w:space="0" w:color="auto"/>
      </w:divBdr>
    </w:div>
    <w:div w:id="935483917">
      <w:marLeft w:val="0"/>
      <w:marRight w:val="0"/>
      <w:marTop w:val="0"/>
      <w:marBottom w:val="0"/>
      <w:divBdr>
        <w:top w:val="none" w:sz="0" w:space="0" w:color="auto"/>
        <w:left w:val="none" w:sz="0" w:space="0" w:color="auto"/>
        <w:bottom w:val="none" w:sz="0" w:space="0" w:color="auto"/>
        <w:right w:val="none" w:sz="0" w:space="0" w:color="auto"/>
      </w:divBdr>
    </w:div>
    <w:div w:id="935483918">
      <w:marLeft w:val="0"/>
      <w:marRight w:val="0"/>
      <w:marTop w:val="0"/>
      <w:marBottom w:val="0"/>
      <w:divBdr>
        <w:top w:val="none" w:sz="0" w:space="0" w:color="auto"/>
        <w:left w:val="none" w:sz="0" w:space="0" w:color="auto"/>
        <w:bottom w:val="none" w:sz="0" w:space="0" w:color="auto"/>
        <w:right w:val="none" w:sz="0" w:space="0" w:color="auto"/>
      </w:divBdr>
    </w:div>
    <w:div w:id="935483919">
      <w:marLeft w:val="0"/>
      <w:marRight w:val="0"/>
      <w:marTop w:val="0"/>
      <w:marBottom w:val="0"/>
      <w:divBdr>
        <w:top w:val="none" w:sz="0" w:space="0" w:color="auto"/>
        <w:left w:val="none" w:sz="0" w:space="0" w:color="auto"/>
        <w:bottom w:val="none" w:sz="0" w:space="0" w:color="auto"/>
        <w:right w:val="none" w:sz="0" w:space="0" w:color="auto"/>
      </w:divBdr>
    </w:div>
    <w:div w:id="935483921">
      <w:marLeft w:val="0"/>
      <w:marRight w:val="0"/>
      <w:marTop w:val="0"/>
      <w:marBottom w:val="0"/>
      <w:divBdr>
        <w:top w:val="none" w:sz="0" w:space="0" w:color="auto"/>
        <w:left w:val="none" w:sz="0" w:space="0" w:color="auto"/>
        <w:bottom w:val="none" w:sz="0" w:space="0" w:color="auto"/>
        <w:right w:val="none" w:sz="0" w:space="0" w:color="auto"/>
      </w:divBdr>
    </w:div>
    <w:div w:id="935483922">
      <w:marLeft w:val="0"/>
      <w:marRight w:val="0"/>
      <w:marTop w:val="0"/>
      <w:marBottom w:val="0"/>
      <w:divBdr>
        <w:top w:val="none" w:sz="0" w:space="0" w:color="auto"/>
        <w:left w:val="none" w:sz="0" w:space="0" w:color="auto"/>
        <w:bottom w:val="none" w:sz="0" w:space="0" w:color="auto"/>
        <w:right w:val="none" w:sz="0" w:space="0" w:color="auto"/>
      </w:divBdr>
      <w:divsChild>
        <w:div w:id="935483879">
          <w:marLeft w:val="0"/>
          <w:marRight w:val="0"/>
          <w:marTop w:val="0"/>
          <w:marBottom w:val="0"/>
          <w:divBdr>
            <w:top w:val="none" w:sz="0" w:space="0" w:color="auto"/>
            <w:left w:val="none" w:sz="0" w:space="0" w:color="auto"/>
            <w:bottom w:val="none" w:sz="0" w:space="0" w:color="auto"/>
            <w:right w:val="none" w:sz="0" w:space="0" w:color="auto"/>
          </w:divBdr>
        </w:div>
        <w:div w:id="935483898">
          <w:marLeft w:val="0"/>
          <w:marRight w:val="0"/>
          <w:marTop w:val="0"/>
          <w:marBottom w:val="0"/>
          <w:divBdr>
            <w:top w:val="none" w:sz="0" w:space="0" w:color="auto"/>
            <w:left w:val="none" w:sz="0" w:space="0" w:color="auto"/>
            <w:bottom w:val="none" w:sz="0" w:space="0" w:color="auto"/>
            <w:right w:val="none" w:sz="0" w:space="0" w:color="auto"/>
          </w:divBdr>
          <w:divsChild>
            <w:div w:id="935483902">
              <w:marLeft w:val="0"/>
              <w:marRight w:val="0"/>
              <w:marTop w:val="0"/>
              <w:marBottom w:val="0"/>
              <w:divBdr>
                <w:top w:val="none" w:sz="0" w:space="0" w:color="auto"/>
                <w:left w:val="none" w:sz="0" w:space="0" w:color="auto"/>
                <w:bottom w:val="none" w:sz="0" w:space="0" w:color="auto"/>
                <w:right w:val="none" w:sz="0" w:space="0" w:color="auto"/>
              </w:divBdr>
            </w:div>
          </w:divsChild>
        </w:div>
        <w:div w:id="935483924">
          <w:marLeft w:val="0"/>
          <w:marRight w:val="0"/>
          <w:marTop w:val="0"/>
          <w:marBottom w:val="0"/>
          <w:divBdr>
            <w:top w:val="none" w:sz="0" w:space="0" w:color="auto"/>
            <w:left w:val="none" w:sz="0" w:space="0" w:color="auto"/>
            <w:bottom w:val="none" w:sz="0" w:space="0" w:color="auto"/>
            <w:right w:val="none" w:sz="0" w:space="0" w:color="auto"/>
          </w:divBdr>
        </w:div>
      </w:divsChild>
    </w:div>
    <w:div w:id="935483923">
      <w:marLeft w:val="0"/>
      <w:marRight w:val="0"/>
      <w:marTop w:val="0"/>
      <w:marBottom w:val="0"/>
      <w:divBdr>
        <w:top w:val="none" w:sz="0" w:space="0" w:color="auto"/>
        <w:left w:val="none" w:sz="0" w:space="0" w:color="auto"/>
        <w:bottom w:val="none" w:sz="0" w:space="0" w:color="auto"/>
        <w:right w:val="none" w:sz="0" w:space="0" w:color="auto"/>
      </w:divBdr>
    </w:div>
    <w:div w:id="935483925">
      <w:marLeft w:val="0"/>
      <w:marRight w:val="0"/>
      <w:marTop w:val="0"/>
      <w:marBottom w:val="0"/>
      <w:divBdr>
        <w:top w:val="none" w:sz="0" w:space="0" w:color="auto"/>
        <w:left w:val="none" w:sz="0" w:space="0" w:color="auto"/>
        <w:bottom w:val="none" w:sz="0" w:space="0" w:color="auto"/>
        <w:right w:val="none" w:sz="0" w:space="0" w:color="auto"/>
      </w:divBdr>
    </w:div>
    <w:div w:id="935483926">
      <w:marLeft w:val="0"/>
      <w:marRight w:val="0"/>
      <w:marTop w:val="0"/>
      <w:marBottom w:val="0"/>
      <w:divBdr>
        <w:top w:val="none" w:sz="0" w:space="0" w:color="auto"/>
        <w:left w:val="none" w:sz="0" w:space="0" w:color="auto"/>
        <w:bottom w:val="none" w:sz="0" w:space="0" w:color="auto"/>
        <w:right w:val="none" w:sz="0" w:space="0" w:color="auto"/>
      </w:divBdr>
    </w:div>
    <w:div w:id="935483927">
      <w:marLeft w:val="0"/>
      <w:marRight w:val="0"/>
      <w:marTop w:val="0"/>
      <w:marBottom w:val="0"/>
      <w:divBdr>
        <w:top w:val="none" w:sz="0" w:space="0" w:color="auto"/>
        <w:left w:val="none" w:sz="0" w:space="0" w:color="auto"/>
        <w:bottom w:val="none" w:sz="0" w:space="0" w:color="auto"/>
        <w:right w:val="none" w:sz="0" w:space="0" w:color="auto"/>
      </w:divBdr>
    </w:div>
    <w:div w:id="935483928">
      <w:marLeft w:val="0"/>
      <w:marRight w:val="0"/>
      <w:marTop w:val="0"/>
      <w:marBottom w:val="0"/>
      <w:divBdr>
        <w:top w:val="none" w:sz="0" w:space="0" w:color="auto"/>
        <w:left w:val="none" w:sz="0" w:space="0" w:color="auto"/>
        <w:bottom w:val="none" w:sz="0" w:space="0" w:color="auto"/>
        <w:right w:val="none" w:sz="0" w:space="0" w:color="auto"/>
      </w:divBdr>
    </w:div>
    <w:div w:id="935483929">
      <w:marLeft w:val="0"/>
      <w:marRight w:val="0"/>
      <w:marTop w:val="0"/>
      <w:marBottom w:val="0"/>
      <w:divBdr>
        <w:top w:val="none" w:sz="0" w:space="0" w:color="auto"/>
        <w:left w:val="none" w:sz="0" w:space="0" w:color="auto"/>
        <w:bottom w:val="none" w:sz="0" w:space="0" w:color="auto"/>
        <w:right w:val="none" w:sz="0" w:space="0" w:color="auto"/>
      </w:divBdr>
    </w:div>
    <w:div w:id="935483930">
      <w:marLeft w:val="0"/>
      <w:marRight w:val="0"/>
      <w:marTop w:val="0"/>
      <w:marBottom w:val="0"/>
      <w:divBdr>
        <w:top w:val="none" w:sz="0" w:space="0" w:color="auto"/>
        <w:left w:val="none" w:sz="0" w:space="0" w:color="auto"/>
        <w:bottom w:val="none" w:sz="0" w:space="0" w:color="auto"/>
        <w:right w:val="none" w:sz="0" w:space="0" w:color="auto"/>
      </w:divBdr>
    </w:div>
    <w:div w:id="935483931">
      <w:marLeft w:val="0"/>
      <w:marRight w:val="0"/>
      <w:marTop w:val="0"/>
      <w:marBottom w:val="0"/>
      <w:divBdr>
        <w:top w:val="none" w:sz="0" w:space="0" w:color="auto"/>
        <w:left w:val="none" w:sz="0" w:space="0" w:color="auto"/>
        <w:bottom w:val="none" w:sz="0" w:space="0" w:color="auto"/>
        <w:right w:val="none" w:sz="0" w:space="0" w:color="auto"/>
      </w:divBdr>
    </w:div>
    <w:div w:id="935483932">
      <w:marLeft w:val="0"/>
      <w:marRight w:val="0"/>
      <w:marTop w:val="0"/>
      <w:marBottom w:val="0"/>
      <w:divBdr>
        <w:top w:val="none" w:sz="0" w:space="0" w:color="auto"/>
        <w:left w:val="none" w:sz="0" w:space="0" w:color="auto"/>
        <w:bottom w:val="none" w:sz="0" w:space="0" w:color="auto"/>
        <w:right w:val="none" w:sz="0" w:space="0" w:color="auto"/>
      </w:divBdr>
    </w:div>
    <w:div w:id="935483933">
      <w:marLeft w:val="0"/>
      <w:marRight w:val="0"/>
      <w:marTop w:val="0"/>
      <w:marBottom w:val="0"/>
      <w:divBdr>
        <w:top w:val="none" w:sz="0" w:space="0" w:color="auto"/>
        <w:left w:val="none" w:sz="0" w:space="0" w:color="auto"/>
        <w:bottom w:val="none" w:sz="0" w:space="0" w:color="auto"/>
        <w:right w:val="none" w:sz="0" w:space="0" w:color="auto"/>
      </w:divBdr>
    </w:div>
    <w:div w:id="935483934">
      <w:marLeft w:val="0"/>
      <w:marRight w:val="0"/>
      <w:marTop w:val="0"/>
      <w:marBottom w:val="0"/>
      <w:divBdr>
        <w:top w:val="none" w:sz="0" w:space="0" w:color="auto"/>
        <w:left w:val="none" w:sz="0" w:space="0" w:color="auto"/>
        <w:bottom w:val="none" w:sz="0" w:space="0" w:color="auto"/>
        <w:right w:val="none" w:sz="0" w:space="0" w:color="auto"/>
      </w:divBdr>
    </w:div>
    <w:div w:id="935483935">
      <w:marLeft w:val="0"/>
      <w:marRight w:val="0"/>
      <w:marTop w:val="0"/>
      <w:marBottom w:val="0"/>
      <w:divBdr>
        <w:top w:val="none" w:sz="0" w:space="0" w:color="auto"/>
        <w:left w:val="none" w:sz="0" w:space="0" w:color="auto"/>
        <w:bottom w:val="none" w:sz="0" w:space="0" w:color="auto"/>
        <w:right w:val="none" w:sz="0" w:space="0" w:color="auto"/>
      </w:divBdr>
    </w:div>
    <w:div w:id="935483936">
      <w:marLeft w:val="0"/>
      <w:marRight w:val="0"/>
      <w:marTop w:val="0"/>
      <w:marBottom w:val="0"/>
      <w:divBdr>
        <w:top w:val="none" w:sz="0" w:space="0" w:color="auto"/>
        <w:left w:val="none" w:sz="0" w:space="0" w:color="auto"/>
        <w:bottom w:val="none" w:sz="0" w:space="0" w:color="auto"/>
        <w:right w:val="none" w:sz="0" w:space="0" w:color="auto"/>
      </w:divBdr>
    </w:div>
    <w:div w:id="935483937">
      <w:marLeft w:val="0"/>
      <w:marRight w:val="0"/>
      <w:marTop w:val="0"/>
      <w:marBottom w:val="0"/>
      <w:divBdr>
        <w:top w:val="none" w:sz="0" w:space="0" w:color="auto"/>
        <w:left w:val="none" w:sz="0" w:space="0" w:color="auto"/>
        <w:bottom w:val="none" w:sz="0" w:space="0" w:color="auto"/>
        <w:right w:val="none" w:sz="0" w:space="0" w:color="auto"/>
      </w:divBdr>
    </w:div>
    <w:div w:id="935483938">
      <w:marLeft w:val="0"/>
      <w:marRight w:val="0"/>
      <w:marTop w:val="0"/>
      <w:marBottom w:val="0"/>
      <w:divBdr>
        <w:top w:val="none" w:sz="0" w:space="0" w:color="auto"/>
        <w:left w:val="none" w:sz="0" w:space="0" w:color="auto"/>
        <w:bottom w:val="none" w:sz="0" w:space="0" w:color="auto"/>
        <w:right w:val="none" w:sz="0" w:space="0" w:color="auto"/>
      </w:divBdr>
    </w:div>
    <w:div w:id="935483939">
      <w:marLeft w:val="0"/>
      <w:marRight w:val="0"/>
      <w:marTop w:val="0"/>
      <w:marBottom w:val="0"/>
      <w:divBdr>
        <w:top w:val="none" w:sz="0" w:space="0" w:color="auto"/>
        <w:left w:val="none" w:sz="0" w:space="0" w:color="auto"/>
        <w:bottom w:val="none" w:sz="0" w:space="0" w:color="auto"/>
        <w:right w:val="none" w:sz="0" w:space="0" w:color="auto"/>
      </w:divBdr>
    </w:div>
    <w:div w:id="935483940">
      <w:marLeft w:val="0"/>
      <w:marRight w:val="0"/>
      <w:marTop w:val="0"/>
      <w:marBottom w:val="0"/>
      <w:divBdr>
        <w:top w:val="none" w:sz="0" w:space="0" w:color="auto"/>
        <w:left w:val="none" w:sz="0" w:space="0" w:color="auto"/>
        <w:bottom w:val="none" w:sz="0" w:space="0" w:color="auto"/>
        <w:right w:val="none" w:sz="0" w:space="0" w:color="auto"/>
      </w:divBdr>
    </w:div>
    <w:div w:id="935483941">
      <w:marLeft w:val="0"/>
      <w:marRight w:val="0"/>
      <w:marTop w:val="0"/>
      <w:marBottom w:val="0"/>
      <w:divBdr>
        <w:top w:val="none" w:sz="0" w:space="0" w:color="auto"/>
        <w:left w:val="none" w:sz="0" w:space="0" w:color="auto"/>
        <w:bottom w:val="none" w:sz="0" w:space="0" w:color="auto"/>
        <w:right w:val="none" w:sz="0" w:space="0" w:color="auto"/>
      </w:divBdr>
    </w:div>
    <w:div w:id="935483942">
      <w:marLeft w:val="0"/>
      <w:marRight w:val="0"/>
      <w:marTop w:val="0"/>
      <w:marBottom w:val="0"/>
      <w:divBdr>
        <w:top w:val="none" w:sz="0" w:space="0" w:color="auto"/>
        <w:left w:val="none" w:sz="0" w:space="0" w:color="auto"/>
        <w:bottom w:val="none" w:sz="0" w:space="0" w:color="auto"/>
        <w:right w:val="none" w:sz="0" w:space="0" w:color="auto"/>
      </w:divBdr>
    </w:div>
    <w:div w:id="935483943">
      <w:marLeft w:val="0"/>
      <w:marRight w:val="0"/>
      <w:marTop w:val="0"/>
      <w:marBottom w:val="0"/>
      <w:divBdr>
        <w:top w:val="none" w:sz="0" w:space="0" w:color="auto"/>
        <w:left w:val="none" w:sz="0" w:space="0" w:color="auto"/>
        <w:bottom w:val="none" w:sz="0" w:space="0" w:color="auto"/>
        <w:right w:val="none" w:sz="0" w:space="0" w:color="auto"/>
      </w:divBdr>
    </w:div>
    <w:div w:id="935483944">
      <w:marLeft w:val="0"/>
      <w:marRight w:val="0"/>
      <w:marTop w:val="0"/>
      <w:marBottom w:val="0"/>
      <w:divBdr>
        <w:top w:val="none" w:sz="0" w:space="0" w:color="auto"/>
        <w:left w:val="none" w:sz="0" w:space="0" w:color="auto"/>
        <w:bottom w:val="none" w:sz="0" w:space="0" w:color="auto"/>
        <w:right w:val="none" w:sz="0" w:space="0" w:color="auto"/>
      </w:divBdr>
    </w:div>
    <w:div w:id="935483945">
      <w:marLeft w:val="0"/>
      <w:marRight w:val="0"/>
      <w:marTop w:val="0"/>
      <w:marBottom w:val="0"/>
      <w:divBdr>
        <w:top w:val="none" w:sz="0" w:space="0" w:color="auto"/>
        <w:left w:val="none" w:sz="0" w:space="0" w:color="auto"/>
        <w:bottom w:val="none" w:sz="0" w:space="0" w:color="auto"/>
        <w:right w:val="none" w:sz="0" w:space="0" w:color="auto"/>
      </w:divBdr>
    </w:div>
    <w:div w:id="935483946">
      <w:marLeft w:val="0"/>
      <w:marRight w:val="0"/>
      <w:marTop w:val="0"/>
      <w:marBottom w:val="0"/>
      <w:divBdr>
        <w:top w:val="none" w:sz="0" w:space="0" w:color="auto"/>
        <w:left w:val="none" w:sz="0" w:space="0" w:color="auto"/>
        <w:bottom w:val="none" w:sz="0" w:space="0" w:color="auto"/>
        <w:right w:val="none" w:sz="0" w:space="0" w:color="auto"/>
      </w:divBdr>
    </w:div>
    <w:div w:id="935483947">
      <w:marLeft w:val="0"/>
      <w:marRight w:val="0"/>
      <w:marTop w:val="0"/>
      <w:marBottom w:val="0"/>
      <w:divBdr>
        <w:top w:val="none" w:sz="0" w:space="0" w:color="auto"/>
        <w:left w:val="none" w:sz="0" w:space="0" w:color="auto"/>
        <w:bottom w:val="none" w:sz="0" w:space="0" w:color="auto"/>
        <w:right w:val="none" w:sz="0" w:space="0" w:color="auto"/>
      </w:divBdr>
    </w:div>
    <w:div w:id="935483948">
      <w:marLeft w:val="0"/>
      <w:marRight w:val="0"/>
      <w:marTop w:val="0"/>
      <w:marBottom w:val="0"/>
      <w:divBdr>
        <w:top w:val="none" w:sz="0" w:space="0" w:color="auto"/>
        <w:left w:val="none" w:sz="0" w:space="0" w:color="auto"/>
        <w:bottom w:val="none" w:sz="0" w:space="0" w:color="auto"/>
        <w:right w:val="none" w:sz="0" w:space="0" w:color="auto"/>
      </w:divBdr>
    </w:div>
    <w:div w:id="935483949">
      <w:marLeft w:val="0"/>
      <w:marRight w:val="0"/>
      <w:marTop w:val="0"/>
      <w:marBottom w:val="0"/>
      <w:divBdr>
        <w:top w:val="none" w:sz="0" w:space="0" w:color="auto"/>
        <w:left w:val="none" w:sz="0" w:space="0" w:color="auto"/>
        <w:bottom w:val="none" w:sz="0" w:space="0" w:color="auto"/>
        <w:right w:val="none" w:sz="0" w:space="0" w:color="auto"/>
      </w:divBdr>
    </w:div>
    <w:div w:id="971403162">
      <w:bodyDiv w:val="1"/>
      <w:marLeft w:val="0"/>
      <w:marRight w:val="0"/>
      <w:marTop w:val="0"/>
      <w:marBottom w:val="0"/>
      <w:divBdr>
        <w:top w:val="none" w:sz="0" w:space="0" w:color="auto"/>
        <w:left w:val="none" w:sz="0" w:space="0" w:color="auto"/>
        <w:bottom w:val="none" w:sz="0" w:space="0" w:color="auto"/>
        <w:right w:val="none" w:sz="0" w:space="0" w:color="auto"/>
      </w:divBdr>
    </w:div>
    <w:div w:id="1030489791">
      <w:bodyDiv w:val="1"/>
      <w:marLeft w:val="0"/>
      <w:marRight w:val="0"/>
      <w:marTop w:val="0"/>
      <w:marBottom w:val="0"/>
      <w:divBdr>
        <w:top w:val="none" w:sz="0" w:space="0" w:color="auto"/>
        <w:left w:val="none" w:sz="0" w:space="0" w:color="auto"/>
        <w:bottom w:val="none" w:sz="0" w:space="0" w:color="auto"/>
        <w:right w:val="none" w:sz="0" w:space="0" w:color="auto"/>
      </w:divBdr>
    </w:div>
    <w:div w:id="1173498582">
      <w:bodyDiv w:val="1"/>
      <w:marLeft w:val="0"/>
      <w:marRight w:val="0"/>
      <w:marTop w:val="0"/>
      <w:marBottom w:val="0"/>
      <w:divBdr>
        <w:top w:val="none" w:sz="0" w:space="0" w:color="auto"/>
        <w:left w:val="none" w:sz="0" w:space="0" w:color="auto"/>
        <w:bottom w:val="none" w:sz="0" w:space="0" w:color="auto"/>
        <w:right w:val="none" w:sz="0" w:space="0" w:color="auto"/>
      </w:divBdr>
    </w:div>
    <w:div w:id="1193611896">
      <w:bodyDiv w:val="1"/>
      <w:marLeft w:val="0"/>
      <w:marRight w:val="0"/>
      <w:marTop w:val="0"/>
      <w:marBottom w:val="0"/>
      <w:divBdr>
        <w:top w:val="none" w:sz="0" w:space="0" w:color="auto"/>
        <w:left w:val="none" w:sz="0" w:space="0" w:color="auto"/>
        <w:bottom w:val="none" w:sz="0" w:space="0" w:color="auto"/>
        <w:right w:val="none" w:sz="0" w:space="0" w:color="auto"/>
      </w:divBdr>
    </w:div>
    <w:div w:id="1218517672">
      <w:bodyDiv w:val="1"/>
      <w:marLeft w:val="0"/>
      <w:marRight w:val="0"/>
      <w:marTop w:val="0"/>
      <w:marBottom w:val="0"/>
      <w:divBdr>
        <w:top w:val="none" w:sz="0" w:space="0" w:color="auto"/>
        <w:left w:val="none" w:sz="0" w:space="0" w:color="auto"/>
        <w:bottom w:val="none" w:sz="0" w:space="0" w:color="auto"/>
        <w:right w:val="none" w:sz="0" w:space="0" w:color="auto"/>
      </w:divBdr>
    </w:div>
    <w:div w:id="1250966830">
      <w:bodyDiv w:val="1"/>
      <w:marLeft w:val="0"/>
      <w:marRight w:val="0"/>
      <w:marTop w:val="0"/>
      <w:marBottom w:val="0"/>
      <w:divBdr>
        <w:top w:val="none" w:sz="0" w:space="0" w:color="auto"/>
        <w:left w:val="none" w:sz="0" w:space="0" w:color="auto"/>
        <w:bottom w:val="none" w:sz="0" w:space="0" w:color="auto"/>
        <w:right w:val="none" w:sz="0" w:space="0" w:color="auto"/>
      </w:divBdr>
    </w:div>
    <w:div w:id="1302923914">
      <w:bodyDiv w:val="1"/>
      <w:marLeft w:val="0"/>
      <w:marRight w:val="0"/>
      <w:marTop w:val="0"/>
      <w:marBottom w:val="0"/>
      <w:divBdr>
        <w:top w:val="none" w:sz="0" w:space="0" w:color="auto"/>
        <w:left w:val="none" w:sz="0" w:space="0" w:color="auto"/>
        <w:bottom w:val="none" w:sz="0" w:space="0" w:color="auto"/>
        <w:right w:val="none" w:sz="0" w:space="0" w:color="auto"/>
      </w:divBdr>
    </w:div>
    <w:div w:id="1349138758">
      <w:bodyDiv w:val="1"/>
      <w:marLeft w:val="0"/>
      <w:marRight w:val="0"/>
      <w:marTop w:val="0"/>
      <w:marBottom w:val="0"/>
      <w:divBdr>
        <w:top w:val="none" w:sz="0" w:space="0" w:color="auto"/>
        <w:left w:val="none" w:sz="0" w:space="0" w:color="auto"/>
        <w:bottom w:val="none" w:sz="0" w:space="0" w:color="auto"/>
        <w:right w:val="none" w:sz="0" w:space="0" w:color="auto"/>
      </w:divBdr>
    </w:div>
    <w:div w:id="1370566116">
      <w:bodyDiv w:val="1"/>
      <w:marLeft w:val="0"/>
      <w:marRight w:val="0"/>
      <w:marTop w:val="0"/>
      <w:marBottom w:val="0"/>
      <w:divBdr>
        <w:top w:val="none" w:sz="0" w:space="0" w:color="auto"/>
        <w:left w:val="none" w:sz="0" w:space="0" w:color="auto"/>
        <w:bottom w:val="none" w:sz="0" w:space="0" w:color="auto"/>
        <w:right w:val="none" w:sz="0" w:space="0" w:color="auto"/>
      </w:divBdr>
    </w:div>
    <w:div w:id="1380472162">
      <w:bodyDiv w:val="1"/>
      <w:marLeft w:val="0"/>
      <w:marRight w:val="0"/>
      <w:marTop w:val="0"/>
      <w:marBottom w:val="0"/>
      <w:divBdr>
        <w:top w:val="none" w:sz="0" w:space="0" w:color="auto"/>
        <w:left w:val="none" w:sz="0" w:space="0" w:color="auto"/>
        <w:bottom w:val="none" w:sz="0" w:space="0" w:color="auto"/>
        <w:right w:val="none" w:sz="0" w:space="0" w:color="auto"/>
      </w:divBdr>
    </w:div>
    <w:div w:id="1430932358">
      <w:bodyDiv w:val="1"/>
      <w:marLeft w:val="0"/>
      <w:marRight w:val="0"/>
      <w:marTop w:val="0"/>
      <w:marBottom w:val="0"/>
      <w:divBdr>
        <w:top w:val="none" w:sz="0" w:space="0" w:color="auto"/>
        <w:left w:val="none" w:sz="0" w:space="0" w:color="auto"/>
        <w:bottom w:val="none" w:sz="0" w:space="0" w:color="auto"/>
        <w:right w:val="none" w:sz="0" w:space="0" w:color="auto"/>
      </w:divBdr>
    </w:div>
    <w:div w:id="1443256917">
      <w:bodyDiv w:val="1"/>
      <w:marLeft w:val="0"/>
      <w:marRight w:val="0"/>
      <w:marTop w:val="0"/>
      <w:marBottom w:val="0"/>
      <w:divBdr>
        <w:top w:val="none" w:sz="0" w:space="0" w:color="auto"/>
        <w:left w:val="none" w:sz="0" w:space="0" w:color="auto"/>
        <w:bottom w:val="none" w:sz="0" w:space="0" w:color="auto"/>
        <w:right w:val="none" w:sz="0" w:space="0" w:color="auto"/>
      </w:divBdr>
    </w:div>
    <w:div w:id="1572427296">
      <w:bodyDiv w:val="1"/>
      <w:marLeft w:val="0"/>
      <w:marRight w:val="0"/>
      <w:marTop w:val="0"/>
      <w:marBottom w:val="0"/>
      <w:divBdr>
        <w:top w:val="none" w:sz="0" w:space="0" w:color="auto"/>
        <w:left w:val="none" w:sz="0" w:space="0" w:color="auto"/>
        <w:bottom w:val="none" w:sz="0" w:space="0" w:color="auto"/>
        <w:right w:val="none" w:sz="0" w:space="0" w:color="auto"/>
      </w:divBdr>
    </w:div>
    <w:div w:id="1587422534">
      <w:bodyDiv w:val="1"/>
      <w:marLeft w:val="0"/>
      <w:marRight w:val="0"/>
      <w:marTop w:val="0"/>
      <w:marBottom w:val="0"/>
      <w:divBdr>
        <w:top w:val="none" w:sz="0" w:space="0" w:color="auto"/>
        <w:left w:val="none" w:sz="0" w:space="0" w:color="auto"/>
        <w:bottom w:val="none" w:sz="0" w:space="0" w:color="auto"/>
        <w:right w:val="none" w:sz="0" w:space="0" w:color="auto"/>
      </w:divBdr>
    </w:div>
    <w:div w:id="1701277925">
      <w:bodyDiv w:val="1"/>
      <w:marLeft w:val="0"/>
      <w:marRight w:val="0"/>
      <w:marTop w:val="0"/>
      <w:marBottom w:val="0"/>
      <w:divBdr>
        <w:top w:val="none" w:sz="0" w:space="0" w:color="auto"/>
        <w:left w:val="none" w:sz="0" w:space="0" w:color="auto"/>
        <w:bottom w:val="none" w:sz="0" w:space="0" w:color="auto"/>
        <w:right w:val="none" w:sz="0" w:space="0" w:color="auto"/>
      </w:divBdr>
    </w:div>
    <w:div w:id="1711146503">
      <w:bodyDiv w:val="1"/>
      <w:marLeft w:val="0"/>
      <w:marRight w:val="0"/>
      <w:marTop w:val="0"/>
      <w:marBottom w:val="0"/>
      <w:divBdr>
        <w:top w:val="none" w:sz="0" w:space="0" w:color="auto"/>
        <w:left w:val="none" w:sz="0" w:space="0" w:color="auto"/>
        <w:bottom w:val="none" w:sz="0" w:space="0" w:color="auto"/>
        <w:right w:val="none" w:sz="0" w:space="0" w:color="auto"/>
      </w:divBdr>
    </w:div>
    <w:div w:id="1727992210">
      <w:bodyDiv w:val="1"/>
      <w:marLeft w:val="0"/>
      <w:marRight w:val="0"/>
      <w:marTop w:val="0"/>
      <w:marBottom w:val="0"/>
      <w:divBdr>
        <w:top w:val="none" w:sz="0" w:space="0" w:color="auto"/>
        <w:left w:val="none" w:sz="0" w:space="0" w:color="auto"/>
        <w:bottom w:val="none" w:sz="0" w:space="0" w:color="auto"/>
        <w:right w:val="none" w:sz="0" w:space="0" w:color="auto"/>
      </w:divBdr>
    </w:div>
    <w:div w:id="1905332397">
      <w:bodyDiv w:val="1"/>
      <w:marLeft w:val="0"/>
      <w:marRight w:val="0"/>
      <w:marTop w:val="0"/>
      <w:marBottom w:val="0"/>
      <w:divBdr>
        <w:top w:val="none" w:sz="0" w:space="0" w:color="auto"/>
        <w:left w:val="none" w:sz="0" w:space="0" w:color="auto"/>
        <w:bottom w:val="none" w:sz="0" w:space="0" w:color="auto"/>
        <w:right w:val="none" w:sz="0" w:space="0" w:color="auto"/>
      </w:divBdr>
      <w:divsChild>
        <w:div w:id="1536624241">
          <w:marLeft w:val="0"/>
          <w:marRight w:val="0"/>
          <w:marTop w:val="0"/>
          <w:marBottom w:val="90"/>
          <w:divBdr>
            <w:top w:val="none" w:sz="0" w:space="0" w:color="auto"/>
            <w:left w:val="none" w:sz="0" w:space="0" w:color="auto"/>
            <w:bottom w:val="none" w:sz="0" w:space="0" w:color="auto"/>
            <w:right w:val="none" w:sz="0" w:space="0" w:color="auto"/>
          </w:divBdr>
          <w:divsChild>
            <w:div w:id="23358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959944">
      <w:bodyDiv w:val="1"/>
      <w:marLeft w:val="0"/>
      <w:marRight w:val="0"/>
      <w:marTop w:val="0"/>
      <w:marBottom w:val="0"/>
      <w:divBdr>
        <w:top w:val="none" w:sz="0" w:space="0" w:color="auto"/>
        <w:left w:val="none" w:sz="0" w:space="0" w:color="auto"/>
        <w:bottom w:val="none" w:sz="0" w:space="0" w:color="auto"/>
        <w:right w:val="none" w:sz="0" w:space="0" w:color="auto"/>
      </w:divBdr>
    </w:div>
    <w:div w:id="2021201504">
      <w:bodyDiv w:val="1"/>
      <w:marLeft w:val="0"/>
      <w:marRight w:val="0"/>
      <w:marTop w:val="0"/>
      <w:marBottom w:val="0"/>
      <w:divBdr>
        <w:top w:val="none" w:sz="0" w:space="0" w:color="auto"/>
        <w:left w:val="none" w:sz="0" w:space="0" w:color="auto"/>
        <w:bottom w:val="none" w:sz="0" w:space="0" w:color="auto"/>
        <w:right w:val="none" w:sz="0" w:space="0" w:color="auto"/>
      </w:divBdr>
    </w:div>
    <w:div w:id="2057268932">
      <w:bodyDiv w:val="1"/>
      <w:marLeft w:val="0"/>
      <w:marRight w:val="0"/>
      <w:marTop w:val="0"/>
      <w:marBottom w:val="0"/>
      <w:divBdr>
        <w:top w:val="none" w:sz="0" w:space="0" w:color="auto"/>
        <w:left w:val="none" w:sz="0" w:space="0" w:color="auto"/>
        <w:bottom w:val="none" w:sz="0" w:space="0" w:color="auto"/>
        <w:right w:val="none" w:sz="0" w:space="0" w:color="auto"/>
      </w:divBdr>
    </w:div>
    <w:div w:id="208896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3F2A3A-6F3E-46FA-9AA5-2EB7D8AC7BCF}">
  <we:reference id="wa102920439" version="1.3.1.0" store="es-E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51E62-194F-4CCB-A8CB-F8625009E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1268</TotalTime>
  <Pages>11</Pages>
  <Words>4541</Words>
  <Characters>22783</Characters>
  <Application>Microsoft Office Word</Application>
  <DocSecurity>0</DocSecurity>
  <Lines>189</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dc:creator>
  <cp:keywords/>
  <dc:description/>
  <cp:lastModifiedBy>Andrés Díaz Gómez</cp:lastModifiedBy>
  <cp:revision>135</cp:revision>
  <cp:lastPrinted>2014-06-13T18:09:00Z</cp:lastPrinted>
  <dcterms:created xsi:type="dcterms:W3CDTF">2016-10-27T20:08:00Z</dcterms:created>
  <dcterms:modified xsi:type="dcterms:W3CDTF">2016-11-04T17:56:00Z</dcterms:modified>
</cp:coreProperties>
</file>